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22B7D" w:rsidTr="00345119">
        <w:tc>
          <w:tcPr>
            <w:tcW w:w="9576" w:type="dxa"/>
            <w:noWrap/>
          </w:tcPr>
          <w:p w:rsidR="008423E4" w:rsidRPr="0022177D" w:rsidRDefault="0073692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3692E" w:rsidP="008423E4">
      <w:pPr>
        <w:jc w:val="center"/>
      </w:pPr>
    </w:p>
    <w:p w:rsidR="008423E4" w:rsidRPr="00B31F0E" w:rsidRDefault="0073692E" w:rsidP="008423E4"/>
    <w:p w:rsidR="008423E4" w:rsidRPr="00742794" w:rsidRDefault="0073692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2B7D" w:rsidTr="00345119">
        <w:tc>
          <w:tcPr>
            <w:tcW w:w="9576" w:type="dxa"/>
          </w:tcPr>
          <w:p w:rsidR="008423E4" w:rsidRPr="00861995" w:rsidRDefault="0073692E" w:rsidP="00345119">
            <w:pPr>
              <w:jc w:val="right"/>
            </w:pPr>
            <w:r>
              <w:t>H.B. 2779</w:t>
            </w:r>
          </w:p>
        </w:tc>
      </w:tr>
      <w:tr w:rsidR="00322B7D" w:rsidTr="00345119">
        <w:tc>
          <w:tcPr>
            <w:tcW w:w="9576" w:type="dxa"/>
          </w:tcPr>
          <w:p w:rsidR="008423E4" w:rsidRPr="00861995" w:rsidRDefault="0073692E" w:rsidP="00163147">
            <w:pPr>
              <w:jc w:val="right"/>
            </w:pPr>
            <w:r>
              <w:t xml:space="preserve">By: </w:t>
            </w:r>
            <w:r>
              <w:t>Wray</w:t>
            </w:r>
          </w:p>
        </w:tc>
      </w:tr>
      <w:tr w:rsidR="00322B7D" w:rsidTr="00345119">
        <w:tc>
          <w:tcPr>
            <w:tcW w:w="9576" w:type="dxa"/>
          </w:tcPr>
          <w:p w:rsidR="008423E4" w:rsidRPr="00861995" w:rsidRDefault="0073692E" w:rsidP="00345119">
            <w:pPr>
              <w:jc w:val="right"/>
            </w:pPr>
            <w:r>
              <w:t>Pensions, Investments &amp; Financial Services</w:t>
            </w:r>
          </w:p>
        </w:tc>
      </w:tr>
      <w:tr w:rsidR="00322B7D" w:rsidTr="00345119">
        <w:tc>
          <w:tcPr>
            <w:tcW w:w="9576" w:type="dxa"/>
          </w:tcPr>
          <w:p w:rsidR="008423E4" w:rsidRDefault="0073692E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3692E" w:rsidP="008423E4">
      <w:pPr>
        <w:tabs>
          <w:tab w:val="right" w:pos="9360"/>
        </w:tabs>
      </w:pPr>
    </w:p>
    <w:p w:rsidR="008423E4" w:rsidRDefault="0073692E" w:rsidP="008423E4"/>
    <w:p w:rsidR="008423E4" w:rsidRDefault="0073692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22B7D" w:rsidTr="00345119">
        <w:tc>
          <w:tcPr>
            <w:tcW w:w="9576" w:type="dxa"/>
          </w:tcPr>
          <w:p w:rsidR="008423E4" w:rsidRPr="00A8133F" w:rsidRDefault="0073692E" w:rsidP="00F870C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3692E" w:rsidP="00F870C8"/>
          <w:p w:rsidR="008423E4" w:rsidRDefault="0073692E" w:rsidP="00F870C8">
            <w:pPr>
              <w:pStyle w:val="Header"/>
              <w:jc w:val="both"/>
            </w:pPr>
            <w:r>
              <w:t>It has been suggested that u</w:t>
            </w:r>
            <w:r>
              <w:t>sing more efficient language</w:t>
            </w:r>
            <w:r>
              <w:t xml:space="preserve"> will clarify</w:t>
            </w:r>
            <w:r>
              <w:t xml:space="preserve"> laws regarding the</w:t>
            </w:r>
            <w:r>
              <w:t xml:space="preserve"> exem</w:t>
            </w:r>
            <w:r>
              <w:t>ption</w:t>
            </w:r>
            <w:r>
              <w:t xml:space="preserve"> </w:t>
            </w:r>
            <w:r w:rsidRPr="00492A8A">
              <w:t xml:space="preserve">for certain </w:t>
            </w:r>
            <w:r w:rsidRPr="00492A8A">
              <w:t>savings plans from attachment, execution, or other seizure for a creditor's claim</w:t>
            </w:r>
            <w:r>
              <w:t xml:space="preserve">. H.B. 2779 seeks to provide this clarification by </w:t>
            </w:r>
            <w:r>
              <w:t>revising</w:t>
            </w:r>
            <w:r>
              <w:t xml:space="preserve"> </w:t>
            </w:r>
            <w:r>
              <w:t>provisions relating to such an exemption</w:t>
            </w:r>
            <w:r>
              <w:t xml:space="preserve">. </w:t>
            </w:r>
          </w:p>
          <w:p w:rsidR="008423E4" w:rsidRPr="00E26B13" w:rsidRDefault="0073692E" w:rsidP="00F870C8">
            <w:pPr>
              <w:rPr>
                <w:b/>
              </w:rPr>
            </w:pPr>
          </w:p>
        </w:tc>
      </w:tr>
      <w:tr w:rsidR="00322B7D" w:rsidTr="00345119">
        <w:tc>
          <w:tcPr>
            <w:tcW w:w="9576" w:type="dxa"/>
          </w:tcPr>
          <w:p w:rsidR="0017725B" w:rsidRDefault="0073692E" w:rsidP="00F870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3692E" w:rsidP="00F870C8">
            <w:pPr>
              <w:rPr>
                <w:b/>
                <w:u w:val="single"/>
              </w:rPr>
            </w:pPr>
          </w:p>
          <w:p w:rsidR="008612E9" w:rsidRPr="008612E9" w:rsidRDefault="0073692E" w:rsidP="00F870C8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3692E" w:rsidP="00F870C8">
            <w:pPr>
              <w:rPr>
                <w:b/>
                <w:u w:val="single"/>
              </w:rPr>
            </w:pPr>
          </w:p>
        </w:tc>
      </w:tr>
      <w:tr w:rsidR="00322B7D" w:rsidTr="00345119">
        <w:tc>
          <w:tcPr>
            <w:tcW w:w="9576" w:type="dxa"/>
          </w:tcPr>
          <w:p w:rsidR="008423E4" w:rsidRPr="00A8133F" w:rsidRDefault="0073692E" w:rsidP="00F870C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3692E" w:rsidP="00F870C8"/>
          <w:p w:rsidR="008612E9" w:rsidRDefault="0073692E" w:rsidP="00F870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:rsidR="008423E4" w:rsidRPr="00E21FDC" w:rsidRDefault="0073692E" w:rsidP="00F870C8">
            <w:pPr>
              <w:rPr>
                <w:b/>
              </w:rPr>
            </w:pPr>
          </w:p>
        </w:tc>
      </w:tr>
      <w:tr w:rsidR="00322B7D" w:rsidTr="00345119">
        <w:tc>
          <w:tcPr>
            <w:tcW w:w="9576" w:type="dxa"/>
          </w:tcPr>
          <w:p w:rsidR="008423E4" w:rsidRPr="00A8133F" w:rsidRDefault="0073692E" w:rsidP="00F870C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3692E" w:rsidP="00F870C8"/>
          <w:p w:rsidR="0094617E" w:rsidRDefault="0073692E" w:rsidP="00F870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2779 amends the Property Code to revise provisions relating to</w:t>
            </w:r>
            <w:r>
              <w:t xml:space="preserve"> </w:t>
            </w:r>
            <w:r>
              <w:t>the</w:t>
            </w:r>
            <w:r>
              <w:t xml:space="preserve"> exemption</w:t>
            </w:r>
            <w:r>
              <w:t xml:space="preserve"> </w:t>
            </w:r>
            <w:r>
              <w:t xml:space="preserve">for certain savings plans </w:t>
            </w:r>
            <w:r w:rsidRPr="006C1709">
              <w:t>from attachment, execution, or other seizure for a</w:t>
            </w:r>
            <w:r>
              <w:t xml:space="preserve"> </w:t>
            </w:r>
            <w:r>
              <w:t>cre</w:t>
            </w:r>
            <w:r>
              <w:t>ditors' claims</w:t>
            </w:r>
            <w:r>
              <w:t xml:space="preserve"> </w:t>
            </w:r>
            <w:r>
              <w:t>by doing the following:</w:t>
            </w:r>
          </w:p>
          <w:p w:rsidR="00176D88" w:rsidRDefault="0073692E" w:rsidP="00F870C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defin</w:t>
            </w:r>
            <w:r>
              <w:t xml:space="preserve">ing </w:t>
            </w:r>
            <w:r>
              <w:t xml:space="preserve">"qualified savings plan" as </w:t>
            </w:r>
            <w:r w:rsidRPr="00D265B9">
              <w:t>any stock bonus, pension, annuity, deferred compensation, profit-sharing, health, education, or simi</w:t>
            </w:r>
            <w:r w:rsidRPr="00D265B9">
              <w:t>lar plan or account, to the extent the plan or account is exempt from federal income tax or to the extent federal income tax on a person's interest in the plan or account is deferred until actual payment of benefits to the person</w:t>
            </w:r>
            <w:r>
              <w:t>;</w:t>
            </w:r>
            <w:r>
              <w:t xml:space="preserve"> </w:t>
            </w:r>
          </w:p>
          <w:p w:rsidR="00176D88" w:rsidRDefault="0073692E" w:rsidP="00F870C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specifying certain plans</w:t>
            </w:r>
            <w:r>
              <w:t xml:space="preserve"> and accounts eligible for the exemption;</w:t>
            </w:r>
          </w:p>
          <w:p w:rsidR="00176D88" w:rsidRDefault="0073692E" w:rsidP="00F870C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establishing that</w:t>
            </w:r>
            <w:r>
              <w:t xml:space="preserve"> </w:t>
            </w:r>
            <w:r>
              <w:t xml:space="preserve">a plan or account is </w:t>
            </w:r>
            <w:r>
              <w:t xml:space="preserve">considered to be </w:t>
            </w:r>
            <w:r>
              <w:t xml:space="preserve">exempt from federal income tax for purposes of the additional exemption if the plan or account is subject to </w:t>
            </w:r>
            <w:r>
              <w:t xml:space="preserve">federal income </w:t>
            </w:r>
            <w:r>
              <w:t xml:space="preserve">tax solely under </w:t>
            </w:r>
            <w:r>
              <w:t>specified</w:t>
            </w:r>
            <w:r>
              <w:t xml:space="preserve"> </w:t>
            </w:r>
            <w:r>
              <w:t>provisi</w:t>
            </w:r>
            <w:r>
              <w:t>ons of the federal Internal Revenue Code of 1986</w:t>
            </w:r>
            <w:r>
              <w:t xml:space="preserve"> relating to unrelated business income of certain charitable and </w:t>
            </w:r>
            <w:r>
              <w:t xml:space="preserve">otherwise </w:t>
            </w:r>
            <w:r>
              <w:t>tax exempt organizations and to unrelated business income from debt-financed property</w:t>
            </w:r>
            <w:r>
              <w:t>;</w:t>
            </w:r>
          </w:p>
          <w:p w:rsidR="00000F4B" w:rsidRDefault="0073692E" w:rsidP="00F870C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excluding from the exemption</w:t>
            </w:r>
            <w:r>
              <w:t xml:space="preserve"> a person's intere</w:t>
            </w:r>
            <w:r>
              <w:t>st in a retirement plan that is solely an unfunded, unsecured promise by an employer to pay deferred compensation</w:t>
            </w:r>
            <w:r>
              <w:t>,</w:t>
            </w:r>
            <w:r>
              <w:t xml:space="preserve"> </w:t>
            </w:r>
            <w:r>
              <w:t>unless otherwise exempt by law</w:t>
            </w:r>
            <w:r>
              <w:t>;</w:t>
            </w:r>
            <w:r>
              <w:t xml:space="preserve"> and</w:t>
            </w:r>
          </w:p>
          <w:p w:rsidR="00E056B2" w:rsidRDefault="0073692E" w:rsidP="00F870C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establishing that if any provision relating to the additional exemption is held invalid or preempted by f</w:t>
            </w:r>
            <w:r>
              <w:t>ederal law, in whole or in part or in certain circumstances, the remaining provisions remain in effect, to the maximum extent permitted by law.</w:t>
            </w:r>
          </w:p>
          <w:p w:rsidR="00E07415" w:rsidRDefault="0073692E" w:rsidP="00F870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07415" w:rsidRDefault="0073692E" w:rsidP="00F870C8">
            <w:pPr>
              <w:pStyle w:val="Header"/>
              <w:jc w:val="both"/>
            </w:pPr>
            <w:r>
              <w:t xml:space="preserve">H.B. 2779 makes the additional exemption </w:t>
            </w:r>
            <w:r>
              <w:t xml:space="preserve">applicable to a child support lien </w:t>
            </w:r>
            <w:r>
              <w:t>for</w:t>
            </w:r>
            <w:r>
              <w:t xml:space="preserve"> the following:</w:t>
            </w:r>
            <w:r>
              <w:t xml:space="preserve"> a plan</w:t>
            </w:r>
            <w:r>
              <w:t xml:space="preserve"> or account established under </w:t>
            </w:r>
            <w:r>
              <w:t>the prepaid higher education tuition program</w:t>
            </w:r>
            <w:r>
              <w:t xml:space="preserve">, including a prepaid tuition contract; a plan or account established under </w:t>
            </w:r>
            <w:r>
              <w:t>the higher education savings plan</w:t>
            </w:r>
            <w:r>
              <w:t>, including a savings trust account;</w:t>
            </w:r>
            <w:r>
              <w:t xml:space="preserve"> and </w:t>
            </w:r>
            <w:r>
              <w:t xml:space="preserve">a qualified tuition program of </w:t>
            </w:r>
            <w:r>
              <w:t>any state that meets the</w:t>
            </w:r>
            <w:r>
              <w:t xml:space="preserve"> requirements of the federal Internal Revenue Code of 1986</w:t>
            </w:r>
            <w:r>
              <w:t>.</w:t>
            </w:r>
            <w:r>
              <w:t xml:space="preserve"> </w:t>
            </w:r>
          </w:p>
          <w:p w:rsidR="00E07415" w:rsidRDefault="0073692E" w:rsidP="00F870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056B2" w:rsidRDefault="0073692E" w:rsidP="00F870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2779 repeals Section 42.0022, Property Code.</w:t>
            </w:r>
            <w:r>
              <w:t xml:space="preserve"> </w:t>
            </w:r>
          </w:p>
          <w:p w:rsidR="008423E4" w:rsidRPr="00835628" w:rsidRDefault="0073692E" w:rsidP="00F870C8">
            <w:pPr>
              <w:rPr>
                <w:b/>
              </w:rPr>
            </w:pPr>
          </w:p>
        </w:tc>
      </w:tr>
      <w:tr w:rsidR="00322B7D" w:rsidTr="00345119">
        <w:tc>
          <w:tcPr>
            <w:tcW w:w="9576" w:type="dxa"/>
          </w:tcPr>
          <w:p w:rsidR="008423E4" w:rsidRPr="00A8133F" w:rsidRDefault="0073692E" w:rsidP="00F870C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3692E" w:rsidP="00F870C8"/>
          <w:p w:rsidR="008423E4" w:rsidRPr="003624F2" w:rsidRDefault="0073692E" w:rsidP="00F870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73692E" w:rsidP="00F870C8">
            <w:pPr>
              <w:rPr>
                <w:b/>
              </w:rPr>
            </w:pPr>
          </w:p>
        </w:tc>
      </w:tr>
    </w:tbl>
    <w:p w:rsidR="008423E4" w:rsidRPr="00BE0E75" w:rsidRDefault="0073692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3692E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692E">
      <w:r>
        <w:separator/>
      </w:r>
    </w:p>
  </w:endnote>
  <w:endnote w:type="continuationSeparator" w:id="0">
    <w:p w:rsidR="00000000" w:rsidRDefault="0073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36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2B7D" w:rsidTr="009C1E9A">
      <w:trPr>
        <w:cantSplit/>
      </w:trPr>
      <w:tc>
        <w:tcPr>
          <w:tcW w:w="0" w:type="pct"/>
        </w:tcPr>
        <w:p w:rsidR="00137D90" w:rsidRDefault="0073692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3692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3692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3692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369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B7D" w:rsidTr="009C1E9A">
      <w:trPr>
        <w:cantSplit/>
      </w:trPr>
      <w:tc>
        <w:tcPr>
          <w:tcW w:w="0" w:type="pct"/>
        </w:tcPr>
        <w:p w:rsidR="00EC379B" w:rsidRDefault="0073692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369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22842</w:t>
          </w:r>
        </w:p>
      </w:tc>
      <w:tc>
        <w:tcPr>
          <w:tcW w:w="2453" w:type="pct"/>
        </w:tcPr>
        <w:p w:rsidR="00EC379B" w:rsidRDefault="007369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19.91.105</w:t>
          </w:r>
          <w:r>
            <w:fldChar w:fldCharType="end"/>
          </w:r>
        </w:p>
      </w:tc>
    </w:tr>
    <w:tr w:rsidR="00322B7D" w:rsidTr="009C1E9A">
      <w:trPr>
        <w:cantSplit/>
      </w:trPr>
      <w:tc>
        <w:tcPr>
          <w:tcW w:w="0" w:type="pct"/>
        </w:tcPr>
        <w:p w:rsidR="00EC379B" w:rsidRDefault="0073692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3692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3692E" w:rsidP="006D504F">
          <w:pPr>
            <w:pStyle w:val="Footer"/>
            <w:rPr>
              <w:rStyle w:val="PageNumber"/>
            </w:rPr>
          </w:pPr>
        </w:p>
        <w:p w:rsidR="00EC379B" w:rsidRDefault="007369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B7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369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73692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3692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36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692E">
      <w:r>
        <w:separator/>
      </w:r>
    </w:p>
  </w:footnote>
  <w:footnote w:type="continuationSeparator" w:id="0">
    <w:p w:rsidR="00000000" w:rsidRDefault="0073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36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36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36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074"/>
    <w:multiLevelType w:val="hybridMultilevel"/>
    <w:tmpl w:val="019045CA"/>
    <w:lvl w:ilvl="0" w:tplc="E078F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8C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E0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6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B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8C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0E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CD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41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7D"/>
    <w:rsid w:val="00322B7D"/>
    <w:rsid w:val="007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923814-7201-49C5-9C81-C79560A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612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1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12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1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12E9"/>
    <w:rPr>
      <w:b/>
      <w:bCs/>
    </w:rPr>
  </w:style>
  <w:style w:type="character" w:styleId="Hyperlink">
    <w:name w:val="Hyperlink"/>
    <w:basedOn w:val="DefaultParagraphFont"/>
    <w:unhideWhenUsed/>
    <w:rsid w:val="00010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2497</Characters>
  <Application>Microsoft Office Word</Application>
  <DocSecurity>4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HB02779 (Committee Report (Unamended))</vt:lpstr>
    </vt:vector>
  </TitlesOfParts>
  <Company>State of Texas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22842</dc:subject>
  <dc:creator>State of Texas</dc:creator>
  <dc:description>HB 2779 by Wray-(H)Pensions, Investments &amp; Financial Services</dc:description>
  <cp:lastModifiedBy>Scotty Wimberley</cp:lastModifiedBy>
  <cp:revision>2</cp:revision>
  <cp:lastPrinted>2003-11-26T17:21:00Z</cp:lastPrinted>
  <dcterms:created xsi:type="dcterms:W3CDTF">2019-04-11T18:20:00Z</dcterms:created>
  <dcterms:modified xsi:type="dcterms:W3CDTF">2019-04-11T18:20:00Z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19.91.105</vt:lpwstr>
  </property>
</Properties>
</file>