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21315" w:rsidTr="00345119">
        <w:tc>
          <w:tcPr>
            <w:tcW w:w="9576" w:type="dxa"/>
            <w:noWrap/>
          </w:tcPr>
          <w:p w:rsidR="008423E4" w:rsidRPr="0022177D" w:rsidRDefault="0035272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5272F" w:rsidP="008423E4">
      <w:pPr>
        <w:jc w:val="center"/>
      </w:pPr>
    </w:p>
    <w:p w:rsidR="008423E4" w:rsidRPr="00B31F0E" w:rsidRDefault="0035272F" w:rsidP="008423E4"/>
    <w:p w:rsidR="008423E4" w:rsidRPr="00742794" w:rsidRDefault="0035272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1315" w:rsidTr="00345119">
        <w:tc>
          <w:tcPr>
            <w:tcW w:w="9576" w:type="dxa"/>
          </w:tcPr>
          <w:p w:rsidR="008423E4" w:rsidRPr="00861995" w:rsidRDefault="0035272F" w:rsidP="00345119">
            <w:pPr>
              <w:jc w:val="right"/>
            </w:pPr>
            <w:r>
              <w:t>C.S.H.B. 2794</w:t>
            </w:r>
          </w:p>
        </w:tc>
      </w:tr>
      <w:tr w:rsidR="00621315" w:rsidTr="00345119">
        <w:tc>
          <w:tcPr>
            <w:tcW w:w="9576" w:type="dxa"/>
          </w:tcPr>
          <w:p w:rsidR="008423E4" w:rsidRPr="00861995" w:rsidRDefault="0035272F" w:rsidP="00F6530D">
            <w:pPr>
              <w:jc w:val="right"/>
            </w:pPr>
            <w:r>
              <w:t xml:space="preserve">By: </w:t>
            </w:r>
            <w:r>
              <w:t>Morrison</w:t>
            </w:r>
          </w:p>
        </w:tc>
      </w:tr>
      <w:tr w:rsidR="00621315" w:rsidTr="00345119">
        <w:tc>
          <w:tcPr>
            <w:tcW w:w="9576" w:type="dxa"/>
          </w:tcPr>
          <w:p w:rsidR="008423E4" w:rsidRPr="00861995" w:rsidRDefault="0035272F" w:rsidP="00345119">
            <w:pPr>
              <w:jc w:val="right"/>
            </w:pPr>
            <w:r>
              <w:t>Homeland Security &amp; Public Safety</w:t>
            </w:r>
          </w:p>
        </w:tc>
      </w:tr>
      <w:tr w:rsidR="00621315" w:rsidTr="00345119">
        <w:tc>
          <w:tcPr>
            <w:tcW w:w="9576" w:type="dxa"/>
          </w:tcPr>
          <w:p w:rsidR="008423E4" w:rsidRDefault="0035272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5272F" w:rsidP="008423E4">
      <w:pPr>
        <w:tabs>
          <w:tab w:val="right" w:pos="9360"/>
        </w:tabs>
      </w:pPr>
    </w:p>
    <w:p w:rsidR="008423E4" w:rsidRDefault="0035272F" w:rsidP="008423E4"/>
    <w:p w:rsidR="008423E4" w:rsidRDefault="0035272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21315" w:rsidTr="00345119">
        <w:tc>
          <w:tcPr>
            <w:tcW w:w="9576" w:type="dxa"/>
          </w:tcPr>
          <w:p w:rsidR="008423E4" w:rsidRPr="00A8133F" w:rsidRDefault="0035272F" w:rsidP="006E110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5272F" w:rsidP="006E1100"/>
          <w:p w:rsidR="008423E4" w:rsidRDefault="0035272F" w:rsidP="006E11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56B68">
              <w:t>Th</w:t>
            </w:r>
            <w:r>
              <w:t>e</w:t>
            </w:r>
            <w:r w:rsidRPr="00F56B68">
              <w:t xml:space="preserve"> Governor's Commission to Rebuild Texas</w:t>
            </w:r>
            <w:r>
              <w:t>, established after Hurricane Harvey,</w:t>
            </w:r>
            <w:r w:rsidRPr="00F56B68">
              <w:t xml:space="preserve"> </w:t>
            </w:r>
            <w:r>
              <w:t xml:space="preserve">recommended the unification of certain </w:t>
            </w:r>
            <w:r w:rsidRPr="00F56B68">
              <w:t>emergency management functions within the state.</w:t>
            </w:r>
            <w:r>
              <w:t xml:space="preserve"> </w:t>
            </w:r>
            <w:r>
              <w:t>It has been noted that</w:t>
            </w:r>
            <w:r>
              <w:t>, in light of this recommendation,</w:t>
            </w:r>
            <w:r>
              <w:t xml:space="preserve"> </w:t>
            </w:r>
            <w:r>
              <w:t>a</w:t>
            </w:r>
            <w:r>
              <w:t xml:space="preserve"> </w:t>
            </w:r>
            <w:r w:rsidRPr="00F56B68">
              <w:t>memorandum of understanding</w:t>
            </w:r>
            <w:r>
              <w:t xml:space="preserve"> </w:t>
            </w:r>
            <w:r>
              <w:t xml:space="preserve">has been </w:t>
            </w:r>
            <w:r>
              <w:t>executed</w:t>
            </w:r>
            <w:r w:rsidRPr="00F56B68">
              <w:t xml:space="preserve"> </w:t>
            </w:r>
            <w:r>
              <w:t>by the</w:t>
            </w:r>
            <w:r w:rsidRPr="00F56B68">
              <w:t xml:space="preserve"> Department of Public Safety and </w:t>
            </w:r>
            <w:r>
              <w:t>T</w:t>
            </w:r>
            <w:r w:rsidRPr="00F56B68">
              <w:t>he Texas A&amp;M University</w:t>
            </w:r>
            <w:r w:rsidRPr="00F56B68">
              <w:t xml:space="preserve"> System </w:t>
            </w:r>
            <w:r>
              <w:t>providing</w:t>
            </w:r>
            <w:r>
              <w:t xml:space="preserve"> for the</w:t>
            </w:r>
            <w:r w:rsidRPr="00F56B68">
              <w:t xml:space="preserve"> </w:t>
            </w:r>
            <w:r>
              <w:t>administration of</w:t>
            </w:r>
            <w:r w:rsidRPr="00F56B68">
              <w:t xml:space="preserve"> </w:t>
            </w:r>
            <w:r w:rsidRPr="00F56B68">
              <w:t xml:space="preserve">the Texas Division of Emergency Management </w:t>
            </w:r>
            <w:r>
              <w:t>by</w:t>
            </w:r>
            <w:r>
              <w:t xml:space="preserve"> </w:t>
            </w:r>
            <w:r>
              <w:t>the system</w:t>
            </w:r>
            <w:r w:rsidRPr="00F56B68">
              <w:t xml:space="preserve">. </w:t>
            </w:r>
            <w:r>
              <w:t>C.S.</w:t>
            </w:r>
            <w:r w:rsidRPr="00F56B68">
              <w:t>H</w:t>
            </w:r>
            <w:r>
              <w:t>.</w:t>
            </w:r>
            <w:r w:rsidRPr="00F56B68">
              <w:t>B</w:t>
            </w:r>
            <w:r>
              <w:t>.</w:t>
            </w:r>
            <w:r w:rsidRPr="00F56B68">
              <w:t xml:space="preserve"> 2794 </w:t>
            </w:r>
            <w:r>
              <w:t>seeks to</w:t>
            </w:r>
            <w:r w:rsidRPr="00F56B68">
              <w:t xml:space="preserve"> </w:t>
            </w:r>
            <w:r>
              <w:t xml:space="preserve">provide </w:t>
            </w:r>
            <w:r>
              <w:t xml:space="preserve">legislative approval </w:t>
            </w:r>
            <w:r>
              <w:t xml:space="preserve">for this transfer and to </w:t>
            </w:r>
            <w:r w:rsidRPr="00F56B68">
              <w:t xml:space="preserve">align </w:t>
            </w:r>
            <w:r>
              <w:t>certain statutes to reflect</w:t>
            </w:r>
            <w:r w:rsidRPr="00F56B68">
              <w:t xml:space="preserve"> </w:t>
            </w:r>
            <w:r w:rsidRPr="00F56B68">
              <w:t>th</w:t>
            </w:r>
            <w:r>
              <w:t xml:space="preserve">e </w:t>
            </w:r>
            <w:r w:rsidRPr="00F56B68">
              <w:t xml:space="preserve">reorganization.  </w:t>
            </w:r>
          </w:p>
          <w:p w:rsidR="008423E4" w:rsidRPr="00E26B13" w:rsidRDefault="0035272F" w:rsidP="006E1100">
            <w:pPr>
              <w:rPr>
                <w:b/>
              </w:rPr>
            </w:pPr>
          </w:p>
        </w:tc>
      </w:tr>
      <w:tr w:rsidR="00621315" w:rsidTr="00345119">
        <w:tc>
          <w:tcPr>
            <w:tcW w:w="9576" w:type="dxa"/>
          </w:tcPr>
          <w:p w:rsidR="0017725B" w:rsidRDefault="0035272F" w:rsidP="006E110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:rsidR="0017725B" w:rsidRDefault="0035272F" w:rsidP="006E1100">
            <w:pPr>
              <w:rPr>
                <w:b/>
                <w:u w:val="single"/>
              </w:rPr>
            </w:pPr>
          </w:p>
          <w:p w:rsidR="00636B3B" w:rsidRPr="00636B3B" w:rsidRDefault="0035272F" w:rsidP="006E1100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:rsidR="0017725B" w:rsidRPr="0017725B" w:rsidRDefault="0035272F" w:rsidP="006E1100">
            <w:pPr>
              <w:rPr>
                <w:b/>
                <w:u w:val="single"/>
              </w:rPr>
            </w:pPr>
          </w:p>
        </w:tc>
      </w:tr>
      <w:tr w:rsidR="00621315" w:rsidTr="00345119">
        <w:tc>
          <w:tcPr>
            <w:tcW w:w="9576" w:type="dxa"/>
          </w:tcPr>
          <w:p w:rsidR="008423E4" w:rsidRPr="00A8133F" w:rsidRDefault="0035272F" w:rsidP="006E110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5272F" w:rsidP="006E1100"/>
          <w:p w:rsidR="00636B3B" w:rsidRDefault="0035272F" w:rsidP="006E11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5272F" w:rsidP="006E1100">
            <w:pPr>
              <w:rPr>
                <w:b/>
              </w:rPr>
            </w:pPr>
          </w:p>
        </w:tc>
      </w:tr>
      <w:tr w:rsidR="00621315" w:rsidTr="00345119">
        <w:tc>
          <w:tcPr>
            <w:tcW w:w="9576" w:type="dxa"/>
          </w:tcPr>
          <w:p w:rsidR="008423E4" w:rsidRPr="00A8133F" w:rsidRDefault="0035272F" w:rsidP="006E1100">
            <w:pPr>
              <w:contextualSpacing/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Default="0035272F" w:rsidP="006E1100">
            <w:pPr>
              <w:contextualSpacing/>
            </w:pPr>
          </w:p>
          <w:p w:rsidR="006A6E2B" w:rsidRDefault="0035272F" w:rsidP="006E1100">
            <w:pPr>
              <w:pStyle w:val="Header"/>
              <w:tabs>
                <w:tab w:val="clear" w:pos="4320"/>
                <w:tab w:val="clear" w:pos="8640"/>
              </w:tabs>
              <w:contextualSpacing/>
              <w:jc w:val="both"/>
            </w:pPr>
            <w:r>
              <w:t>C.S.H.B. 2794 transfer</w:t>
            </w:r>
            <w:r>
              <w:t>s</w:t>
            </w:r>
            <w:r>
              <w:t xml:space="preserve"> the </w:t>
            </w:r>
            <w:r>
              <w:t>administration of the Texas Division of Emergency Management</w:t>
            </w:r>
            <w:r>
              <w:t xml:space="preserve"> (TDEM)</w:t>
            </w:r>
            <w:r>
              <w:t xml:space="preserve"> from the Department of Public Safety (DPS) to </w:t>
            </w:r>
            <w:r>
              <w:t>T</w:t>
            </w:r>
            <w:r>
              <w:t>he Texas A&amp;M University System on September 1, 2019. The bill</w:t>
            </w:r>
            <w:r>
              <w:t>, on that date</w:t>
            </w:r>
            <w:r>
              <w:t>:</w:t>
            </w:r>
          </w:p>
          <w:p w:rsidR="008423E4" w:rsidRDefault="0035272F" w:rsidP="006E11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 xml:space="preserve">provides for the continuance of </w:t>
            </w:r>
            <w:r>
              <w:t xml:space="preserve">all </w:t>
            </w:r>
            <w:r>
              <w:t xml:space="preserve">DPS </w:t>
            </w:r>
            <w:r w:rsidRPr="006A6E2B">
              <w:t>rules, policies, procedu</w:t>
            </w:r>
            <w:r w:rsidRPr="006A6E2B">
              <w:t xml:space="preserve">res, and decisions relating to the administration of </w:t>
            </w:r>
            <w:r>
              <w:t>TDEM</w:t>
            </w:r>
            <w:r>
              <w:t>;</w:t>
            </w:r>
          </w:p>
          <w:p w:rsidR="006A6E2B" w:rsidRDefault="0035272F" w:rsidP="006E11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 xml:space="preserve">makes </w:t>
            </w:r>
            <w:r w:rsidRPr="006A6E2B">
              <w:t>a</w:t>
            </w:r>
            <w:r>
              <w:t xml:space="preserve">n </w:t>
            </w:r>
            <w:r w:rsidRPr="006A6E2B">
              <w:t xml:space="preserve">employee </w:t>
            </w:r>
            <w:r>
              <w:t xml:space="preserve">of TDEM </w:t>
            </w:r>
            <w:r w:rsidRPr="006A6E2B">
              <w:t xml:space="preserve">as operated by </w:t>
            </w:r>
            <w:r>
              <w:t xml:space="preserve">DPS </w:t>
            </w:r>
            <w:r w:rsidRPr="006A6E2B">
              <w:t xml:space="preserve">a </w:t>
            </w:r>
            <w:r>
              <w:t xml:space="preserve">TDEM </w:t>
            </w:r>
            <w:r w:rsidRPr="006A6E2B">
              <w:t>employee under</w:t>
            </w:r>
            <w:r>
              <w:t xml:space="preserve"> the university system;</w:t>
            </w:r>
            <w:r w:rsidRPr="006A6E2B">
              <w:t xml:space="preserve"> </w:t>
            </w:r>
          </w:p>
          <w:p w:rsidR="00A31C20" w:rsidRDefault="0035272F" w:rsidP="006E11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 xml:space="preserve">establishes that </w:t>
            </w:r>
            <w:r w:rsidRPr="006A6E2B">
              <w:t xml:space="preserve">a reference in law or administrative rule to </w:t>
            </w:r>
            <w:r>
              <w:t>DPS</w:t>
            </w:r>
            <w:r w:rsidRPr="006A6E2B">
              <w:t xml:space="preserve"> relating to the administration of </w:t>
            </w:r>
            <w:r>
              <w:t>TDEM</w:t>
            </w:r>
            <w:r w:rsidRPr="006A6E2B">
              <w:t xml:space="preserve"> means </w:t>
            </w:r>
            <w:r>
              <w:t xml:space="preserve">the </w:t>
            </w:r>
            <w:r>
              <w:t xml:space="preserve">university </w:t>
            </w:r>
            <w:r>
              <w:t>system</w:t>
            </w:r>
            <w:r>
              <w:t>; and</w:t>
            </w:r>
          </w:p>
          <w:p w:rsidR="006A6E2B" w:rsidRDefault="0035272F" w:rsidP="006E1100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>makes DPS responsible for the employer contribution for the cost of retiree insurance for employees who retire from TDEM before the transfer date</w:t>
            </w:r>
            <w:r w:rsidRPr="006A6E2B">
              <w:t>.</w:t>
            </w:r>
          </w:p>
          <w:p w:rsidR="00636B3B" w:rsidRDefault="0035272F" w:rsidP="006E110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ind w:left="360"/>
              <w:contextualSpacing/>
              <w:jc w:val="both"/>
            </w:pPr>
          </w:p>
          <w:p w:rsidR="00636B3B" w:rsidRDefault="0035272F" w:rsidP="006E110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>C.S.</w:t>
            </w:r>
            <w:r>
              <w:t xml:space="preserve">H.B. 2794 requires DPS and the university system, not later than </w:t>
            </w:r>
            <w:r>
              <w:t xml:space="preserve">June </w:t>
            </w:r>
            <w:r>
              <w:t xml:space="preserve">1, 2019, </w:t>
            </w:r>
            <w:r>
              <w:t xml:space="preserve">to </w:t>
            </w:r>
            <w:r w:rsidRPr="00636B3B">
              <w:t>enter into a memorandum of underst</w:t>
            </w:r>
            <w:r>
              <w:t xml:space="preserve">anding relating to the transfer </w:t>
            </w:r>
            <w:r>
              <w:t xml:space="preserve">of TDEM </w:t>
            </w:r>
            <w:r>
              <w:t>and</w:t>
            </w:r>
            <w:r>
              <w:t xml:space="preserve"> sets out the required contents of </w:t>
            </w:r>
            <w:r>
              <w:t xml:space="preserve">the </w:t>
            </w:r>
            <w:r>
              <w:t xml:space="preserve">memorandum. </w:t>
            </w:r>
          </w:p>
          <w:p w:rsidR="00636B3B" w:rsidRDefault="0035272F" w:rsidP="006E110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</w:p>
          <w:p w:rsidR="005E5731" w:rsidRDefault="0035272F" w:rsidP="006E110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>C.S.</w:t>
            </w:r>
            <w:r>
              <w:t>H.B. 2794</w:t>
            </w:r>
            <w:r>
              <w:t xml:space="preserve"> amends the Government Code to</w:t>
            </w:r>
            <w:r>
              <w:t xml:space="preserve"> require the governor, at least once each biennium, to </w:t>
            </w:r>
            <w:r>
              <w:t xml:space="preserve">review </w:t>
            </w:r>
            <w:r>
              <w:t xml:space="preserve">the </w:t>
            </w:r>
            <w:r>
              <w:t>composition of the emergency management council established under the Texas Disaster Act of 1975 and, if necessary, update or exp</w:t>
            </w:r>
            <w:r>
              <w:t xml:space="preserve">and the participating entities. The bill </w:t>
            </w:r>
            <w:r>
              <w:t>makes</w:t>
            </w:r>
            <w:r>
              <w:t xml:space="preserve"> the governor the </w:t>
            </w:r>
            <w:r>
              <w:t xml:space="preserve">sole </w:t>
            </w:r>
            <w:r>
              <w:t xml:space="preserve">entity </w:t>
            </w:r>
            <w:r>
              <w:t xml:space="preserve">responsible for </w:t>
            </w:r>
            <w:r>
              <w:t>appoint</w:t>
            </w:r>
            <w:r>
              <w:t>ing</w:t>
            </w:r>
            <w:r>
              <w:t xml:space="preserve"> the chief </w:t>
            </w:r>
            <w:r>
              <w:t>who manages</w:t>
            </w:r>
            <w:r>
              <w:t xml:space="preserve"> </w:t>
            </w:r>
            <w:r>
              <w:t>TD</w:t>
            </w:r>
            <w:r>
              <w:t xml:space="preserve">EM </w:t>
            </w:r>
            <w:r>
              <w:t xml:space="preserve">and removes a representative of the governor's office of homeland security from the list of persons required to </w:t>
            </w:r>
            <w:r>
              <w:t xml:space="preserve">routinely </w:t>
            </w:r>
            <w:r>
              <w:t xml:space="preserve">meet </w:t>
            </w:r>
            <w:r>
              <w:t xml:space="preserve">to coordinate efforts, prevent overlap of activities, and </w:t>
            </w:r>
            <w:r>
              <w:t>ensur</w:t>
            </w:r>
            <w:r>
              <w:t>e</w:t>
            </w:r>
            <w:r>
              <w:t xml:space="preserve"> that the state's approach to emergency management and homelan</w:t>
            </w:r>
            <w:r>
              <w:t xml:space="preserve">d security is unified. The bill requires </w:t>
            </w:r>
            <w:r>
              <w:t>TDEM</w:t>
            </w:r>
            <w:r>
              <w:t xml:space="preserve"> to manage and staff the state operations center under an agreement with DPS.</w:t>
            </w:r>
          </w:p>
          <w:p w:rsidR="005E5731" w:rsidRDefault="0035272F" w:rsidP="006E110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</w:p>
          <w:p w:rsidR="00636B3B" w:rsidRDefault="0035272F" w:rsidP="006E110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  <w:r>
              <w:t>C.S.</w:t>
            </w:r>
            <w:r>
              <w:t>H.B. 2794 amends the Education Code to make nonsubstantive and conforming changes.</w:t>
            </w:r>
          </w:p>
          <w:p w:rsidR="008423E4" w:rsidRPr="00835628" w:rsidRDefault="0035272F" w:rsidP="006E1100">
            <w:pPr>
              <w:contextualSpacing/>
              <w:rPr>
                <w:b/>
              </w:rPr>
            </w:pPr>
          </w:p>
        </w:tc>
      </w:tr>
      <w:tr w:rsidR="00621315" w:rsidTr="00345119">
        <w:tc>
          <w:tcPr>
            <w:tcW w:w="9576" w:type="dxa"/>
          </w:tcPr>
          <w:p w:rsidR="008423E4" w:rsidRPr="00A8133F" w:rsidRDefault="0035272F" w:rsidP="006E110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5272F" w:rsidP="006E1100"/>
          <w:p w:rsidR="00A31C20" w:rsidRDefault="0035272F" w:rsidP="006E110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</w:t>
            </w:r>
            <w:r>
              <w:t>bill does not receive the necessary vote, September 1, 2019.</w:t>
            </w:r>
          </w:p>
          <w:p w:rsidR="008423E4" w:rsidRPr="00233FDB" w:rsidRDefault="0035272F" w:rsidP="006E1100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621315" w:rsidTr="00345119">
        <w:tc>
          <w:tcPr>
            <w:tcW w:w="9576" w:type="dxa"/>
          </w:tcPr>
          <w:p w:rsidR="00F6530D" w:rsidRDefault="0035272F" w:rsidP="006E1100">
            <w:pPr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B90592" w:rsidRDefault="0035272F" w:rsidP="006E1100">
            <w:pPr>
              <w:contextualSpacing/>
              <w:jc w:val="both"/>
            </w:pPr>
          </w:p>
          <w:p w:rsidR="00B90592" w:rsidRDefault="0035272F" w:rsidP="006E1100">
            <w:pPr>
              <w:contextualSpacing/>
              <w:jc w:val="both"/>
            </w:pPr>
            <w:r>
              <w:t xml:space="preserve">While C.S.H.B. 2794 may differ from the original in minor or nonsubstantive ways, the following summarizes the substantial differences between the </w:t>
            </w:r>
            <w:r>
              <w:t>introduced and committee substitute versions of the bill.</w:t>
            </w:r>
          </w:p>
          <w:p w:rsidR="00B90592" w:rsidRDefault="0035272F" w:rsidP="006E1100">
            <w:pPr>
              <w:contextualSpacing/>
              <w:jc w:val="both"/>
            </w:pPr>
          </w:p>
          <w:p w:rsidR="00B90592" w:rsidRDefault="0035272F" w:rsidP="006E1100">
            <w:pPr>
              <w:contextualSpacing/>
              <w:jc w:val="both"/>
            </w:pPr>
            <w:r>
              <w:t>The substitute changes from January 1, 2020, to September 1, 2019, the date on which the administration of TDEM is transferred</w:t>
            </w:r>
            <w:r>
              <w:t xml:space="preserve">. The substitute changes from </w:t>
            </w:r>
            <w:r>
              <w:t>October 1, 2019, to June 1, 2019, the dea</w:t>
            </w:r>
            <w:r>
              <w:t>dline for entering into the memorandum of understanding.</w:t>
            </w:r>
          </w:p>
          <w:p w:rsidR="009A22DC" w:rsidRDefault="0035272F" w:rsidP="006E1100">
            <w:pPr>
              <w:contextualSpacing/>
              <w:jc w:val="both"/>
            </w:pPr>
          </w:p>
          <w:p w:rsidR="009A22DC" w:rsidRDefault="0035272F" w:rsidP="006E1100">
            <w:pPr>
              <w:contextualSpacing/>
              <w:jc w:val="both"/>
            </w:pPr>
            <w:r>
              <w:t>The substitute does not include provisions that:</w:t>
            </w:r>
          </w:p>
          <w:p w:rsidR="009A22DC" w:rsidRDefault="0035272F" w:rsidP="006E1100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provide for the continuance of all plans and benefits related to a transferred TDEM employee;</w:t>
            </w:r>
          </w:p>
          <w:p w:rsidR="009A22DC" w:rsidRDefault="0035272F" w:rsidP="006E1100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make a transferred TDEM employee eligible to transfer s</w:t>
            </w:r>
            <w:r>
              <w:t>ervice credit between the Employees Retirement System of Texas and the Teacher Retirement System of Texas without regard to the years of service credit held in either system; and</w:t>
            </w:r>
          </w:p>
          <w:p w:rsidR="009A22DC" w:rsidRDefault="0035272F" w:rsidP="006E1100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>make a transferred TDEM employee eligible to participate in the group benefit</w:t>
            </w:r>
            <w:r>
              <w:t>s program under the Texas Employees Group Benefits Act effective on the date of transfer without a waiting period.</w:t>
            </w:r>
          </w:p>
          <w:p w:rsidR="00B90592" w:rsidRDefault="0035272F" w:rsidP="006E1100">
            <w:pPr>
              <w:contextualSpacing/>
              <w:jc w:val="both"/>
            </w:pPr>
          </w:p>
          <w:p w:rsidR="00B90592" w:rsidRDefault="0035272F" w:rsidP="006E1100">
            <w:pPr>
              <w:contextualSpacing/>
              <w:jc w:val="both"/>
            </w:pPr>
            <w:r>
              <w:t>The substitute include</w:t>
            </w:r>
            <w:r>
              <w:t>s</w:t>
            </w:r>
            <w:r>
              <w:t xml:space="preserve"> </w:t>
            </w:r>
            <w:r>
              <w:t>a</w:t>
            </w:r>
            <w:r>
              <w:t xml:space="preserve"> provision making DPS responsible for </w:t>
            </w:r>
            <w:r>
              <w:t xml:space="preserve">the </w:t>
            </w:r>
            <w:r>
              <w:t>employer contribution for the cost of retiree insurance for TDEM employee</w:t>
            </w:r>
            <w:r>
              <w:t>s who retire before the transfer date.</w:t>
            </w:r>
          </w:p>
          <w:p w:rsidR="00384513" w:rsidRDefault="0035272F" w:rsidP="006E1100">
            <w:pPr>
              <w:contextualSpacing/>
              <w:jc w:val="both"/>
            </w:pPr>
          </w:p>
          <w:p w:rsidR="00384513" w:rsidRDefault="0035272F" w:rsidP="006E1100">
            <w:pPr>
              <w:contextualSpacing/>
              <w:jc w:val="both"/>
            </w:pPr>
            <w:r>
              <w:t xml:space="preserve">The substitute </w:t>
            </w:r>
            <w:r>
              <w:t>changes the bill's effective date to provide for immediate effect if the bill receives the necessary vote</w:t>
            </w:r>
            <w:r>
              <w:t xml:space="preserve">. </w:t>
            </w:r>
          </w:p>
          <w:p w:rsidR="00B90592" w:rsidRPr="00B90592" w:rsidRDefault="0035272F" w:rsidP="006E1100">
            <w:pPr>
              <w:contextualSpacing/>
              <w:jc w:val="both"/>
            </w:pPr>
          </w:p>
        </w:tc>
      </w:tr>
      <w:tr w:rsidR="00621315" w:rsidTr="00345119">
        <w:tc>
          <w:tcPr>
            <w:tcW w:w="9576" w:type="dxa"/>
          </w:tcPr>
          <w:p w:rsidR="00F6530D" w:rsidRPr="009C1E9A" w:rsidRDefault="0035272F" w:rsidP="006E1100">
            <w:pPr>
              <w:rPr>
                <w:b/>
                <w:u w:val="single"/>
              </w:rPr>
            </w:pPr>
          </w:p>
        </w:tc>
      </w:tr>
      <w:tr w:rsidR="00621315" w:rsidTr="00345119">
        <w:tc>
          <w:tcPr>
            <w:tcW w:w="9576" w:type="dxa"/>
          </w:tcPr>
          <w:p w:rsidR="00F6530D" w:rsidRPr="00F6530D" w:rsidRDefault="0035272F" w:rsidP="006E1100">
            <w:pPr>
              <w:jc w:val="both"/>
            </w:pPr>
          </w:p>
        </w:tc>
      </w:tr>
    </w:tbl>
    <w:p w:rsidR="008423E4" w:rsidRPr="00BE0E75" w:rsidRDefault="0035272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5272F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272F">
      <w:r>
        <w:separator/>
      </w:r>
    </w:p>
  </w:endnote>
  <w:endnote w:type="continuationSeparator" w:id="0">
    <w:p w:rsidR="00000000" w:rsidRDefault="0035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2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1315" w:rsidTr="009C1E9A">
      <w:trPr>
        <w:cantSplit/>
      </w:trPr>
      <w:tc>
        <w:tcPr>
          <w:tcW w:w="0" w:type="pct"/>
        </w:tcPr>
        <w:p w:rsidR="00137D90" w:rsidRDefault="003527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527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5272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527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527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1315" w:rsidTr="009C1E9A">
      <w:trPr>
        <w:cantSplit/>
      </w:trPr>
      <w:tc>
        <w:tcPr>
          <w:tcW w:w="0" w:type="pct"/>
        </w:tcPr>
        <w:p w:rsidR="00EC379B" w:rsidRDefault="0035272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527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24031</w:t>
          </w:r>
        </w:p>
      </w:tc>
      <w:tc>
        <w:tcPr>
          <w:tcW w:w="2453" w:type="pct"/>
        </w:tcPr>
        <w:p w:rsidR="00EC379B" w:rsidRDefault="003527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19.93.313</w:t>
          </w:r>
          <w:r>
            <w:fldChar w:fldCharType="end"/>
          </w:r>
        </w:p>
      </w:tc>
    </w:tr>
    <w:tr w:rsidR="00621315" w:rsidTr="009C1E9A">
      <w:trPr>
        <w:cantSplit/>
      </w:trPr>
      <w:tc>
        <w:tcPr>
          <w:tcW w:w="0" w:type="pct"/>
        </w:tcPr>
        <w:p w:rsidR="00EC379B" w:rsidRDefault="003527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5272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20316</w:t>
          </w:r>
        </w:p>
      </w:tc>
      <w:tc>
        <w:tcPr>
          <w:tcW w:w="2453" w:type="pct"/>
        </w:tcPr>
        <w:p w:rsidR="00EC379B" w:rsidRDefault="0035272F" w:rsidP="006D504F">
          <w:pPr>
            <w:pStyle w:val="Footer"/>
            <w:rPr>
              <w:rStyle w:val="PageNumber"/>
            </w:rPr>
          </w:pPr>
        </w:p>
        <w:p w:rsidR="00EC379B" w:rsidRDefault="003527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13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527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5272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5272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2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272F">
      <w:r>
        <w:separator/>
      </w:r>
    </w:p>
  </w:footnote>
  <w:footnote w:type="continuationSeparator" w:id="0">
    <w:p w:rsidR="00000000" w:rsidRDefault="00352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2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2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2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0DBE"/>
    <w:multiLevelType w:val="hybridMultilevel"/>
    <w:tmpl w:val="D0A83FAA"/>
    <w:lvl w:ilvl="0" w:tplc="02D4B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2EC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207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CB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CF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2A5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B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00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4C2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C6C15"/>
    <w:multiLevelType w:val="hybridMultilevel"/>
    <w:tmpl w:val="3F5C2DC8"/>
    <w:lvl w:ilvl="0" w:tplc="329A83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6CF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92B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6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3E61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3466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68EF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6A9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1A7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15"/>
    <w:rsid w:val="0035272F"/>
    <w:rsid w:val="0062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115BD6-FD1E-4D53-A5FE-40E940AA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36B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6B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6B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36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36B3B"/>
    <w:rPr>
      <w:b/>
      <w:bCs/>
    </w:rPr>
  </w:style>
  <w:style w:type="character" w:styleId="Hyperlink">
    <w:name w:val="Hyperlink"/>
    <w:basedOn w:val="DefaultParagraphFont"/>
    <w:unhideWhenUsed/>
    <w:rsid w:val="00ED4A4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C1ED2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C1E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3747</Characters>
  <Application>Microsoft Office Word</Application>
  <DocSecurity>4</DocSecurity>
  <Lines>94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HB02794 (Committee Report (Substituted))</vt:lpstr>
    </vt:vector>
  </TitlesOfParts>
  <Company>State of Texas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24031</dc:subject>
  <dc:creator>State of Texas</dc:creator>
  <dc:description>HB 2794 by Morrison-(H)Homeland Security &amp; Public Safety (Substitute Document Number: 86R 20316)</dc:description>
  <cp:lastModifiedBy>Laura Ramsay</cp:lastModifiedBy>
  <cp:revision>2</cp:revision>
  <cp:lastPrinted>2019-03-01T19:12:00Z</cp:lastPrinted>
  <dcterms:created xsi:type="dcterms:W3CDTF">2019-04-04T22:49:00Z</dcterms:created>
  <dcterms:modified xsi:type="dcterms:W3CDTF">2019-04-04T22:49:00Z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19.93.313</vt:lpwstr>
  </property>
</Properties>
</file>