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A5CE6" w:rsidTr="00345119">
        <w:tc>
          <w:tcPr>
            <w:tcW w:w="9576" w:type="dxa"/>
            <w:noWrap/>
          </w:tcPr>
          <w:p w:rsidR="008423E4" w:rsidRPr="0022177D" w:rsidRDefault="00B553D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553DC" w:rsidP="008423E4">
      <w:pPr>
        <w:jc w:val="center"/>
      </w:pPr>
    </w:p>
    <w:p w:rsidR="008423E4" w:rsidRPr="00B31F0E" w:rsidRDefault="00B553DC" w:rsidP="008423E4"/>
    <w:p w:rsidR="008423E4" w:rsidRPr="00742794" w:rsidRDefault="00B553D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5CE6" w:rsidTr="00345119">
        <w:tc>
          <w:tcPr>
            <w:tcW w:w="9576" w:type="dxa"/>
          </w:tcPr>
          <w:p w:rsidR="008423E4" w:rsidRPr="00861995" w:rsidRDefault="00B553DC" w:rsidP="001259F7">
            <w:pPr>
              <w:jc w:val="right"/>
            </w:pPr>
            <w:r>
              <w:t>C.S.H.B. 2797</w:t>
            </w:r>
          </w:p>
        </w:tc>
      </w:tr>
      <w:tr w:rsidR="003A5CE6" w:rsidTr="00345119">
        <w:tc>
          <w:tcPr>
            <w:tcW w:w="9576" w:type="dxa"/>
          </w:tcPr>
          <w:p w:rsidR="008423E4" w:rsidRPr="00861995" w:rsidRDefault="00B553DC" w:rsidP="00BA76AB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3A5CE6" w:rsidTr="00345119">
        <w:tc>
          <w:tcPr>
            <w:tcW w:w="9576" w:type="dxa"/>
          </w:tcPr>
          <w:p w:rsidR="008423E4" w:rsidRPr="00861995" w:rsidRDefault="00B553DC" w:rsidP="001259F7">
            <w:pPr>
              <w:jc w:val="right"/>
            </w:pPr>
            <w:r>
              <w:t>Public Education</w:t>
            </w:r>
          </w:p>
        </w:tc>
      </w:tr>
      <w:tr w:rsidR="003A5CE6" w:rsidTr="00345119">
        <w:tc>
          <w:tcPr>
            <w:tcW w:w="9576" w:type="dxa"/>
          </w:tcPr>
          <w:p w:rsidR="008423E4" w:rsidRDefault="00B553DC" w:rsidP="001259F7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553DC" w:rsidP="008423E4">
      <w:pPr>
        <w:tabs>
          <w:tab w:val="right" w:pos="9360"/>
        </w:tabs>
      </w:pPr>
    </w:p>
    <w:p w:rsidR="008423E4" w:rsidRDefault="00B553DC" w:rsidP="008423E4"/>
    <w:p w:rsidR="008423E4" w:rsidRDefault="00B553D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A5CE6" w:rsidTr="00345119">
        <w:tc>
          <w:tcPr>
            <w:tcW w:w="9576" w:type="dxa"/>
          </w:tcPr>
          <w:p w:rsidR="008423E4" w:rsidRPr="00A8133F" w:rsidRDefault="00B553DC" w:rsidP="00E068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553DC" w:rsidP="00E068ED"/>
          <w:p w:rsidR="008423E4" w:rsidRDefault="00B553DC" w:rsidP="00E068ED">
            <w:pPr>
              <w:pStyle w:val="Header"/>
              <w:jc w:val="both"/>
            </w:pPr>
            <w:r>
              <w:t>Concer</w:t>
            </w:r>
            <w:r>
              <w:t xml:space="preserve">ns have been raised </w:t>
            </w:r>
            <w:r>
              <w:t xml:space="preserve">that </w:t>
            </w:r>
            <w:r>
              <w:t xml:space="preserve">some </w:t>
            </w:r>
            <w:r w:rsidRPr="00C806F2">
              <w:t xml:space="preserve">school campuses that </w:t>
            </w:r>
            <w:r>
              <w:t xml:space="preserve">only </w:t>
            </w:r>
            <w:r w:rsidRPr="00C806F2">
              <w:t>enroll students who receive special education services</w:t>
            </w:r>
            <w:r>
              <w:t xml:space="preserve"> </w:t>
            </w:r>
            <w:r>
              <w:t xml:space="preserve">do not </w:t>
            </w:r>
            <w:r>
              <w:t xml:space="preserve">qualify for an alternative accountability plan due to an insufficient number of </w:t>
            </w:r>
            <w:r>
              <w:t xml:space="preserve">the </w:t>
            </w:r>
            <w:r>
              <w:t xml:space="preserve">students </w:t>
            </w:r>
            <w:r>
              <w:t xml:space="preserve">being classified as </w:t>
            </w:r>
            <w:r>
              <w:t>at</w:t>
            </w:r>
            <w:r>
              <w:t>-</w:t>
            </w:r>
            <w:r>
              <w:t>risk</w:t>
            </w:r>
            <w:r>
              <w:t>.</w:t>
            </w:r>
            <w:r>
              <w:t xml:space="preserve"> </w:t>
            </w:r>
            <w:r>
              <w:t>F</w:t>
            </w:r>
            <w:r>
              <w:t>urther</w:t>
            </w:r>
            <w:r>
              <w:t>more, given the</w:t>
            </w:r>
            <w:r>
              <w:t xml:space="preserve"> </w:t>
            </w:r>
            <w:r>
              <w:t>significant proportion of students who are unable to respond to traditional assessments</w:t>
            </w:r>
            <w:r>
              <w:t xml:space="preserve">, </w:t>
            </w:r>
            <w:r>
              <w:t>administering the alte</w:t>
            </w:r>
            <w:r>
              <w:t>rnative assessment</w:t>
            </w:r>
            <w:r>
              <w:t>s</w:t>
            </w:r>
            <w:r>
              <w:t xml:space="preserve"> </w:t>
            </w:r>
            <w:r>
              <w:t xml:space="preserve">may </w:t>
            </w:r>
            <w:r>
              <w:t xml:space="preserve">place an undue burden on teachers, students, and parents of children </w:t>
            </w:r>
            <w:r>
              <w:t xml:space="preserve">who have </w:t>
            </w:r>
            <w:r>
              <w:t>intensive medical needs</w:t>
            </w:r>
            <w:r>
              <w:t xml:space="preserve"> and make it difficult to evaluate these schools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> </w:t>
            </w:r>
            <w:r>
              <w:t xml:space="preserve"> 2797</w:t>
            </w:r>
            <w:r>
              <w:t xml:space="preserve"> seeks to address these concerns </w:t>
            </w:r>
            <w:r>
              <w:t xml:space="preserve">by providing for the classification of these campuses as specialized support campuses and </w:t>
            </w:r>
            <w:r>
              <w:t xml:space="preserve">for </w:t>
            </w:r>
            <w:r>
              <w:t xml:space="preserve">the </w:t>
            </w:r>
            <w:r>
              <w:t>establish</w:t>
            </w:r>
            <w:r>
              <w:t>ment of</w:t>
            </w:r>
            <w:r>
              <w:t xml:space="preserve"> appropriate accountability guidelines under which </w:t>
            </w:r>
            <w:r>
              <w:t xml:space="preserve">these </w:t>
            </w:r>
            <w:r>
              <w:t>campus</w:t>
            </w:r>
            <w:r>
              <w:t>es</w:t>
            </w:r>
            <w:r>
              <w:t xml:space="preserve"> can develop alternative accountability plan</w:t>
            </w:r>
            <w:r>
              <w:t>s</w:t>
            </w:r>
            <w:r>
              <w:t>.</w:t>
            </w:r>
          </w:p>
          <w:p w:rsidR="008423E4" w:rsidRPr="00E26B13" w:rsidRDefault="00B553DC" w:rsidP="00E068ED">
            <w:pPr>
              <w:rPr>
                <w:b/>
              </w:rPr>
            </w:pPr>
          </w:p>
        </w:tc>
      </w:tr>
      <w:tr w:rsidR="003A5CE6" w:rsidTr="00345119">
        <w:tc>
          <w:tcPr>
            <w:tcW w:w="9576" w:type="dxa"/>
          </w:tcPr>
          <w:p w:rsidR="0017725B" w:rsidRDefault="00B553DC" w:rsidP="00E06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553DC" w:rsidP="00E068ED">
            <w:pPr>
              <w:rPr>
                <w:b/>
                <w:u w:val="single"/>
              </w:rPr>
            </w:pPr>
          </w:p>
          <w:p w:rsidR="00C2577A" w:rsidRPr="00C2577A" w:rsidRDefault="00B553DC" w:rsidP="00E068ED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B553DC" w:rsidP="00E068ED">
            <w:pPr>
              <w:rPr>
                <w:b/>
                <w:u w:val="single"/>
              </w:rPr>
            </w:pPr>
          </w:p>
        </w:tc>
      </w:tr>
      <w:tr w:rsidR="003A5CE6" w:rsidTr="00345119">
        <w:tc>
          <w:tcPr>
            <w:tcW w:w="9576" w:type="dxa"/>
          </w:tcPr>
          <w:p w:rsidR="008423E4" w:rsidRPr="00A8133F" w:rsidRDefault="00B553DC" w:rsidP="00E068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553DC" w:rsidP="00E068ED"/>
          <w:p w:rsidR="00C2577A" w:rsidRDefault="00B553DC" w:rsidP="00E068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1 of this bill.</w:t>
            </w:r>
          </w:p>
          <w:p w:rsidR="008423E4" w:rsidRPr="00E21FDC" w:rsidRDefault="00B553DC" w:rsidP="00E068ED">
            <w:pPr>
              <w:rPr>
                <w:b/>
              </w:rPr>
            </w:pPr>
          </w:p>
        </w:tc>
      </w:tr>
      <w:tr w:rsidR="003A5CE6" w:rsidTr="00345119">
        <w:tc>
          <w:tcPr>
            <w:tcW w:w="9576" w:type="dxa"/>
          </w:tcPr>
          <w:p w:rsidR="008423E4" w:rsidRPr="00A8133F" w:rsidRDefault="00B553DC" w:rsidP="00E068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553DC" w:rsidP="00E068ED"/>
          <w:p w:rsidR="00C37CE1" w:rsidRDefault="00B553DC" w:rsidP="00E068ED">
            <w:pPr>
              <w:pStyle w:val="Header"/>
              <w:jc w:val="both"/>
            </w:pPr>
            <w:r>
              <w:t>C.S.</w:t>
            </w:r>
            <w:r>
              <w:t>H.B. 2797 amends the Education Code to require the commissioner</w:t>
            </w:r>
            <w:r>
              <w:t xml:space="preserve"> of education</w:t>
            </w:r>
            <w:r>
              <w:t xml:space="preserve">, in </w:t>
            </w:r>
            <w:r w:rsidRPr="00ED5815">
              <w:t xml:space="preserve">consultation with administrators, </w:t>
            </w:r>
            <w:r>
              <w:t>teachers,</w:t>
            </w:r>
            <w:r>
              <w:t xml:space="preserve"> </w:t>
            </w:r>
            <w:r w:rsidRPr="00ED5815">
              <w:t xml:space="preserve">parents and guardians of students enrolled at </w:t>
            </w:r>
            <w:r>
              <w:t xml:space="preserve">specialized support </w:t>
            </w:r>
            <w:r w:rsidRPr="00ED5815">
              <w:t>campuse</w:t>
            </w:r>
            <w:r>
              <w:t>s, and other stakeholders, to</w:t>
            </w:r>
            <w:r w:rsidRPr="00ED5815">
              <w:t xml:space="preserve"> </w:t>
            </w:r>
            <w:r>
              <w:t xml:space="preserve">establish by rule </w:t>
            </w:r>
            <w:r w:rsidRPr="00ED5815">
              <w:t xml:space="preserve">appropriate accountability </w:t>
            </w:r>
            <w:r>
              <w:t>guidelines</w:t>
            </w:r>
            <w:r w:rsidRPr="00ED5815">
              <w:t xml:space="preserve"> for </w:t>
            </w:r>
            <w:r>
              <w:t>use by a</w:t>
            </w:r>
            <w:r w:rsidRPr="00ED5815">
              <w:t xml:space="preserve"> specialized support campus</w:t>
            </w:r>
            <w:r>
              <w:t xml:space="preserve"> </w:t>
            </w:r>
            <w:r w:rsidRPr="00625B95">
              <w:t>in developing an alternative accountability plan</w:t>
            </w:r>
            <w:r>
              <w:t xml:space="preserve"> </w:t>
            </w:r>
            <w:r w:rsidRPr="00811E31">
              <w:t>based on the specific student population served by the campus</w:t>
            </w:r>
            <w:r w:rsidRPr="00ED5815">
              <w:t>.</w:t>
            </w:r>
            <w:r>
              <w:t xml:space="preserve"> The bill requires the commissioner to provide for public notice and comment in adopting</w:t>
            </w:r>
            <w:r>
              <w:t xml:space="preserve"> the</w:t>
            </w:r>
            <w:r>
              <w:t xml:space="preserve"> rules.</w:t>
            </w:r>
            <w:r>
              <w:t xml:space="preserve"> </w:t>
            </w:r>
            <w:r>
              <w:t xml:space="preserve">The bill defines </w:t>
            </w:r>
            <w:r>
              <w:t xml:space="preserve">"specialized support campus" as a </w:t>
            </w:r>
            <w:r>
              <w:t xml:space="preserve">school </w:t>
            </w:r>
            <w:r>
              <w:t>district campus that</w:t>
            </w:r>
            <w:r>
              <w:t>:</w:t>
            </w:r>
            <w:r>
              <w:t xml:space="preserve"> </w:t>
            </w:r>
          </w:p>
          <w:p w:rsidR="00C37CE1" w:rsidRDefault="00B553DC" w:rsidP="00E068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has a campus identification number;</w:t>
            </w:r>
          </w:p>
          <w:p w:rsidR="00C37CE1" w:rsidRDefault="00B553DC" w:rsidP="00E068E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serves students enrolled in any grade level at which state </w:t>
            </w:r>
            <w:r>
              <w:t>tests</w:t>
            </w:r>
            <w:r>
              <w:t xml:space="preserve"> are administered; and </w:t>
            </w:r>
          </w:p>
          <w:p w:rsidR="00C37CE1" w:rsidRDefault="00B553DC" w:rsidP="00E068E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has a student enrollment in which at least 90 percent of</w:t>
            </w:r>
            <w:r>
              <w:t xml:space="preserve"> students wh</w:t>
            </w:r>
            <w:r>
              <w:t xml:space="preserve">o receive special education services under </w:t>
            </w:r>
            <w:r>
              <w:t>the statewide special education program</w:t>
            </w:r>
            <w:r>
              <w:t xml:space="preserve"> and </w:t>
            </w:r>
            <w:r>
              <w:t xml:space="preserve">a significant percentage of the students required to take a statewide standardized test: </w:t>
            </w:r>
          </w:p>
          <w:p w:rsidR="00C37CE1" w:rsidRDefault="00B553DC" w:rsidP="00E068ED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 xml:space="preserve">take an alternative statewide standardized test for </w:t>
            </w:r>
            <w:r>
              <w:t xml:space="preserve">certain </w:t>
            </w:r>
            <w:r>
              <w:t>student</w:t>
            </w:r>
            <w:r>
              <w:t>s</w:t>
            </w:r>
            <w:r>
              <w:t xml:space="preserve"> in a speci</w:t>
            </w:r>
            <w:r>
              <w:t xml:space="preserve">al education program </w:t>
            </w:r>
            <w:r>
              <w:t xml:space="preserve">or for </w:t>
            </w:r>
            <w:r>
              <w:t xml:space="preserve">a </w:t>
            </w:r>
            <w:r>
              <w:t>cognitively disabled student</w:t>
            </w:r>
            <w:r>
              <w:t>;</w:t>
            </w:r>
            <w:r>
              <w:t xml:space="preserve"> and </w:t>
            </w:r>
          </w:p>
          <w:p w:rsidR="00C37CE1" w:rsidRDefault="00B553DC" w:rsidP="00E068ED">
            <w:pPr>
              <w:pStyle w:val="Header"/>
              <w:numPr>
                <w:ilvl w:val="1"/>
                <w:numId w:val="2"/>
              </w:numPr>
              <w:jc w:val="both"/>
            </w:pPr>
            <w:r>
              <w:t>are unable to provide an authentic academic response on that test</w:t>
            </w:r>
            <w:r>
              <w:t>.</w:t>
            </w:r>
            <w:r>
              <w:t xml:space="preserve"> </w:t>
            </w:r>
          </w:p>
          <w:p w:rsidR="00C37CE1" w:rsidRDefault="00B553DC" w:rsidP="00E068ED">
            <w:pPr>
              <w:pStyle w:val="Header"/>
              <w:jc w:val="both"/>
            </w:pPr>
          </w:p>
          <w:p w:rsidR="00D3353D" w:rsidRDefault="00B553DC" w:rsidP="00E068ED">
            <w:pPr>
              <w:pStyle w:val="Header"/>
              <w:jc w:val="both"/>
            </w:pPr>
            <w:r>
              <w:t xml:space="preserve">C.S.H.B. 2797 </w:t>
            </w:r>
            <w:r>
              <w:t xml:space="preserve">authorizes a specialized support campus to </w:t>
            </w:r>
            <w:r w:rsidRPr="00376A0A">
              <w:t>develop and submit to the commissioner for approval an alternative accountability plan tailored to the student population served by the campus</w:t>
            </w:r>
            <w:r>
              <w:t>. The bill authorizes the commissioner to approve the alternative accountability plan only if the plan follows the</w:t>
            </w:r>
            <w:r>
              <w:t xml:space="preserve"> accountability guidelines</w:t>
            </w:r>
            <w:r>
              <w:t xml:space="preserve"> established by the commissioner</w:t>
            </w:r>
            <w:r>
              <w:t xml:space="preserve"> and complies with federal law. </w:t>
            </w:r>
            <w:r>
              <w:t>The bill requires the commissioner</w:t>
            </w:r>
            <w:r>
              <w:t>,</w:t>
            </w:r>
            <w:r>
              <w:t xml:space="preserve"> </w:t>
            </w:r>
            <w:r>
              <w:t xml:space="preserve">if the commissioner approves the plan, </w:t>
            </w:r>
            <w:r>
              <w:t xml:space="preserve">to determine, report, and consider the performance of students enrolled in </w:t>
            </w:r>
            <w:r>
              <w:t>the</w:t>
            </w:r>
            <w:r>
              <w:t xml:space="preserve"> specialized </w:t>
            </w:r>
            <w:r>
              <w:t>support campus</w:t>
            </w:r>
            <w:r>
              <w:t xml:space="preserve"> using </w:t>
            </w:r>
            <w:r>
              <w:t>that</w:t>
            </w:r>
            <w:r>
              <w:t xml:space="preserve"> plan. </w:t>
            </w:r>
          </w:p>
          <w:p w:rsidR="00D3353D" w:rsidRDefault="00B553DC" w:rsidP="00E068ED">
            <w:pPr>
              <w:pStyle w:val="Header"/>
              <w:jc w:val="both"/>
            </w:pPr>
          </w:p>
          <w:p w:rsidR="00E302AA" w:rsidRDefault="00B553DC" w:rsidP="00E068ED">
            <w:pPr>
              <w:pStyle w:val="Header"/>
              <w:jc w:val="both"/>
            </w:pPr>
            <w:r>
              <w:t xml:space="preserve">C.S.H.B. 2797 </w:t>
            </w:r>
            <w:r>
              <w:t>requires the commissioner</w:t>
            </w:r>
            <w:r>
              <w:t>, not later than December 1, 2022,</w:t>
            </w:r>
            <w:r>
              <w:t xml:space="preserve"> to submit to the </w:t>
            </w:r>
            <w:r w:rsidRPr="00452A6D">
              <w:t>governor, the lieutenant governor, the speaker of the house of representatives, and the standing legislative committees with primar</w:t>
            </w:r>
            <w:r w:rsidRPr="00452A6D">
              <w:t xml:space="preserve">y jurisdiction over public education a report on the effectiveness </w:t>
            </w:r>
            <w:r>
              <w:t>of the bill's provisions</w:t>
            </w:r>
            <w:r w:rsidRPr="00452A6D">
              <w:t xml:space="preserve"> in evaluating specialized support campuses and any recommendations for legislative or other action.</w:t>
            </w:r>
            <w:r>
              <w:t xml:space="preserve"> </w:t>
            </w:r>
          </w:p>
          <w:p w:rsidR="00E302AA" w:rsidRDefault="00B553DC" w:rsidP="00E068ED">
            <w:pPr>
              <w:pStyle w:val="Header"/>
              <w:jc w:val="both"/>
            </w:pPr>
          </w:p>
          <w:p w:rsidR="008423E4" w:rsidRDefault="00B553DC" w:rsidP="00E068ED">
            <w:pPr>
              <w:pStyle w:val="Header"/>
              <w:jc w:val="both"/>
            </w:pPr>
            <w:r>
              <w:t xml:space="preserve">C.S.H.B. 2797 </w:t>
            </w:r>
            <w:r w:rsidRPr="00C2577A">
              <w:t>applies beginning with the 2019-2020 school year</w:t>
            </w:r>
            <w:r>
              <w:t xml:space="preserve"> and expires September 1, 2023</w:t>
            </w:r>
            <w:r w:rsidRPr="00C2577A">
              <w:t>.</w:t>
            </w:r>
          </w:p>
          <w:p w:rsidR="008423E4" w:rsidRPr="00835628" w:rsidRDefault="00B553DC" w:rsidP="00E068ED">
            <w:pPr>
              <w:rPr>
                <w:b/>
              </w:rPr>
            </w:pPr>
          </w:p>
        </w:tc>
      </w:tr>
      <w:tr w:rsidR="003A5CE6" w:rsidTr="00345119">
        <w:tc>
          <w:tcPr>
            <w:tcW w:w="9576" w:type="dxa"/>
          </w:tcPr>
          <w:p w:rsidR="008423E4" w:rsidRPr="00A8133F" w:rsidRDefault="00B553DC" w:rsidP="00E068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553DC" w:rsidP="00E068ED"/>
          <w:p w:rsidR="00E068ED" w:rsidRDefault="00B553DC" w:rsidP="00E068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73AB5" w:rsidRPr="00233FDB" w:rsidRDefault="00B553DC" w:rsidP="00E068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A5CE6" w:rsidTr="00345119">
        <w:tc>
          <w:tcPr>
            <w:tcW w:w="9576" w:type="dxa"/>
          </w:tcPr>
          <w:p w:rsidR="00BA76AB" w:rsidRDefault="00B553DC" w:rsidP="00BA76A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33F94" w:rsidRDefault="00B553DC" w:rsidP="00BA76AB">
            <w:pPr>
              <w:jc w:val="both"/>
              <w:rPr>
                <w:b/>
                <w:u w:val="single"/>
              </w:rPr>
            </w:pPr>
          </w:p>
          <w:p w:rsidR="006632EF" w:rsidRDefault="00B553DC" w:rsidP="006632EF">
            <w:pPr>
              <w:jc w:val="both"/>
            </w:pPr>
            <w:r>
              <w:t xml:space="preserve">While C.S.H.B. 2797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:rsidR="006632EF" w:rsidRDefault="00B553DC" w:rsidP="006632EF">
            <w:pPr>
              <w:jc w:val="both"/>
            </w:pPr>
          </w:p>
          <w:p w:rsidR="006632EF" w:rsidRDefault="00B553DC" w:rsidP="006632EF">
            <w:pPr>
              <w:jc w:val="both"/>
            </w:pPr>
            <w:r>
              <w:t>The substitute revises the definition of "specialized support campus" relating to the characteristics of its student populatio</w:t>
            </w:r>
            <w:r>
              <w:t>n.</w:t>
            </w:r>
          </w:p>
          <w:p w:rsidR="006632EF" w:rsidRDefault="00B553DC" w:rsidP="006632EF">
            <w:pPr>
              <w:jc w:val="both"/>
            </w:pPr>
          </w:p>
          <w:p w:rsidR="006632EF" w:rsidRDefault="00B553DC" w:rsidP="006632EF">
            <w:pPr>
              <w:jc w:val="both"/>
            </w:pPr>
            <w:r>
              <w:t xml:space="preserve">The substitute replaces the requirement for the commissioner to adopt appropriate accountability indicators for each specialized support campus with a requirement for the commissioner to establish by rule appropriate accountability </w:t>
            </w:r>
            <w:r w:rsidRPr="00C24505">
              <w:t>guidelines</w:t>
            </w:r>
            <w:r>
              <w:t xml:space="preserve"> for use b</w:t>
            </w:r>
            <w:r>
              <w:t>y a specialized support campus in developing an alternative accountability plan. The substitute includes a requirement for the commissioner to provide for public notice and comment in adopting the rules.</w:t>
            </w:r>
          </w:p>
          <w:p w:rsidR="006632EF" w:rsidRDefault="00B553DC" w:rsidP="006632EF">
            <w:pPr>
              <w:jc w:val="both"/>
            </w:pPr>
          </w:p>
          <w:p w:rsidR="006632EF" w:rsidRDefault="00B553DC" w:rsidP="006632EF">
            <w:pPr>
              <w:jc w:val="both"/>
            </w:pPr>
            <w:r>
              <w:t>The substitute includes a provision authorizing a s</w:t>
            </w:r>
            <w:r>
              <w:t>pecialized support campus to develop and submit an alternative accountability plan and establishing conditions under which the commissioner may approve such a plan.</w:t>
            </w:r>
          </w:p>
          <w:p w:rsidR="006632EF" w:rsidRDefault="00B553DC" w:rsidP="006632EF">
            <w:pPr>
              <w:jc w:val="both"/>
            </w:pPr>
          </w:p>
          <w:p w:rsidR="006632EF" w:rsidRDefault="00B553DC" w:rsidP="006632EF">
            <w:pPr>
              <w:jc w:val="both"/>
            </w:pPr>
            <w:r>
              <w:t xml:space="preserve">The substitute changes the provision requiring the commissioner to determine, report, and </w:t>
            </w:r>
            <w:r>
              <w:t>consider the performance of students enrolled in a specialized support campus from requiring such action to be conducted separately from the public school district that operates the campus for purposes of measures of annual improvement in student achieveme</w:t>
            </w:r>
            <w:r>
              <w:t>nt, achievement indicators, and additional performance indicators to requiring such action using the campus's approved alternative accountability plan.</w:t>
            </w:r>
          </w:p>
          <w:p w:rsidR="006632EF" w:rsidRDefault="00B553DC" w:rsidP="006632EF">
            <w:pPr>
              <w:jc w:val="both"/>
            </w:pPr>
          </w:p>
          <w:p w:rsidR="006632EF" w:rsidRDefault="00B553DC" w:rsidP="006632EF">
            <w:pPr>
              <w:jc w:val="both"/>
            </w:pPr>
            <w:r>
              <w:t>The substitute includes a requirement for the commissioner to submit a report on the effectiveness of t</w:t>
            </w:r>
            <w:r>
              <w:t>he bill in evaluating specialized support campuses and recommendations for legislative and other action.</w:t>
            </w:r>
          </w:p>
          <w:p w:rsidR="006632EF" w:rsidRDefault="00B553DC" w:rsidP="006632EF">
            <w:pPr>
              <w:jc w:val="both"/>
            </w:pPr>
          </w:p>
          <w:p w:rsidR="006632EF" w:rsidRDefault="00B553DC" w:rsidP="006632EF">
            <w:pPr>
              <w:jc w:val="both"/>
            </w:pPr>
            <w:r>
              <w:t>The substitute includes a provision making the bill expire September 1, 2023.</w:t>
            </w:r>
          </w:p>
          <w:p w:rsidR="006632EF" w:rsidRPr="00BA76AB" w:rsidRDefault="00B553DC" w:rsidP="006632EF">
            <w:pPr>
              <w:jc w:val="both"/>
              <w:rPr>
                <w:b/>
                <w:u w:val="single"/>
              </w:rPr>
            </w:pPr>
          </w:p>
        </w:tc>
      </w:tr>
    </w:tbl>
    <w:p w:rsidR="004108C3" w:rsidRPr="008423E4" w:rsidRDefault="00B553D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53DC">
      <w:r>
        <w:separator/>
      </w:r>
    </w:p>
  </w:endnote>
  <w:endnote w:type="continuationSeparator" w:id="0">
    <w:p w:rsidR="00000000" w:rsidRDefault="00B5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5CE6" w:rsidTr="009C1E9A">
      <w:trPr>
        <w:cantSplit/>
      </w:trPr>
      <w:tc>
        <w:tcPr>
          <w:tcW w:w="0" w:type="pct"/>
        </w:tcPr>
        <w:p w:rsidR="00137D90" w:rsidRDefault="00B553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553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553D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553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553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5CE6" w:rsidTr="009C1E9A">
      <w:trPr>
        <w:cantSplit/>
      </w:trPr>
      <w:tc>
        <w:tcPr>
          <w:tcW w:w="0" w:type="pct"/>
        </w:tcPr>
        <w:p w:rsidR="00EC379B" w:rsidRDefault="00B553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553DC" w:rsidP="001259F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30629</w:t>
          </w:r>
        </w:p>
      </w:tc>
      <w:tc>
        <w:tcPr>
          <w:tcW w:w="2453" w:type="pct"/>
        </w:tcPr>
        <w:p w:rsidR="00EC379B" w:rsidRDefault="00B553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19.119.739</w:t>
          </w:r>
          <w:r>
            <w:fldChar w:fldCharType="end"/>
          </w:r>
        </w:p>
      </w:tc>
    </w:tr>
    <w:tr w:rsidR="003A5CE6" w:rsidTr="009C1E9A">
      <w:trPr>
        <w:cantSplit/>
      </w:trPr>
      <w:tc>
        <w:tcPr>
          <w:tcW w:w="0" w:type="pct"/>
        </w:tcPr>
        <w:p w:rsidR="00EC379B" w:rsidRDefault="00B553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553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23562</w:t>
          </w:r>
        </w:p>
      </w:tc>
      <w:tc>
        <w:tcPr>
          <w:tcW w:w="2453" w:type="pct"/>
        </w:tcPr>
        <w:p w:rsidR="00EC379B" w:rsidRDefault="00B553DC" w:rsidP="006D504F">
          <w:pPr>
            <w:pStyle w:val="Footer"/>
            <w:rPr>
              <w:rStyle w:val="PageNumber"/>
            </w:rPr>
          </w:pPr>
        </w:p>
        <w:p w:rsidR="00EC379B" w:rsidRDefault="00B553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5C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553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553D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553D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53DC">
      <w:r>
        <w:separator/>
      </w:r>
    </w:p>
  </w:footnote>
  <w:footnote w:type="continuationSeparator" w:id="0">
    <w:p w:rsidR="00000000" w:rsidRDefault="00B5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3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5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707"/>
    <w:multiLevelType w:val="hybridMultilevel"/>
    <w:tmpl w:val="E40076D4"/>
    <w:lvl w:ilvl="0" w:tplc="B218E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E2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40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E5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CF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4C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8D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66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80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14808"/>
    <w:multiLevelType w:val="hybridMultilevel"/>
    <w:tmpl w:val="28525DF4"/>
    <w:lvl w:ilvl="0" w:tplc="60DC5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A0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74F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86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6F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62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4B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E2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87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E6"/>
    <w:rsid w:val="003A5CE6"/>
    <w:rsid w:val="00B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9C786-5CBD-4322-A326-E8E184B5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52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5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52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5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5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4834</Characters>
  <Application>Microsoft Office Word</Application>
  <DocSecurity>4</DocSecurity>
  <Lines>105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HB02797 (Committee Report (Substituted))</vt:lpstr>
    </vt:vector>
  </TitlesOfParts>
  <Company>State of Texas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30629</dc:subject>
  <dc:creator>State of Texas</dc:creator>
  <dc:description>HB 2797 by Hinojosa-(H)Public Education (Substitute Document Number: 86R 23562)</dc:description>
  <cp:lastModifiedBy>Scotty Wimberley</cp:lastModifiedBy>
  <cp:revision>2</cp:revision>
  <cp:lastPrinted>2003-11-26T17:21:00Z</cp:lastPrinted>
  <dcterms:created xsi:type="dcterms:W3CDTF">2019-04-29T21:13:00Z</dcterms:created>
  <dcterms:modified xsi:type="dcterms:W3CDTF">2019-04-29T21:13:00Z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19.119.739</vt:lpwstr>
  </property>
</Properties>
</file>