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4067" w:rsidTr="00345119">
        <w:tc>
          <w:tcPr>
            <w:tcW w:w="9576" w:type="dxa"/>
            <w:noWrap/>
          </w:tcPr>
          <w:p w:rsidR="008423E4" w:rsidRPr="0022177D" w:rsidRDefault="00A543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4316" w:rsidP="008423E4">
      <w:pPr>
        <w:jc w:val="center"/>
      </w:pPr>
    </w:p>
    <w:p w:rsidR="008423E4" w:rsidRPr="00B31F0E" w:rsidRDefault="00A54316" w:rsidP="008423E4"/>
    <w:p w:rsidR="008423E4" w:rsidRPr="00742794" w:rsidRDefault="00A543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4067" w:rsidTr="00345119">
        <w:tc>
          <w:tcPr>
            <w:tcW w:w="9576" w:type="dxa"/>
          </w:tcPr>
          <w:p w:rsidR="008423E4" w:rsidRPr="00861995" w:rsidRDefault="00A54316" w:rsidP="00345119">
            <w:pPr>
              <w:jc w:val="right"/>
            </w:pPr>
            <w:r>
              <w:t>H.B. 2802</w:t>
            </w:r>
          </w:p>
        </w:tc>
      </w:tr>
      <w:tr w:rsidR="009D4067" w:rsidTr="00345119">
        <w:tc>
          <w:tcPr>
            <w:tcW w:w="9576" w:type="dxa"/>
          </w:tcPr>
          <w:p w:rsidR="008423E4" w:rsidRPr="00861995" w:rsidRDefault="00A54316" w:rsidP="004A11AF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9D4067" w:rsidTr="00345119">
        <w:tc>
          <w:tcPr>
            <w:tcW w:w="9576" w:type="dxa"/>
          </w:tcPr>
          <w:p w:rsidR="008423E4" w:rsidRPr="00861995" w:rsidRDefault="00A54316" w:rsidP="00345119">
            <w:pPr>
              <w:jc w:val="right"/>
            </w:pPr>
            <w:r>
              <w:t>Appropriations</w:t>
            </w:r>
          </w:p>
        </w:tc>
      </w:tr>
      <w:tr w:rsidR="009D4067" w:rsidTr="00345119">
        <w:tc>
          <w:tcPr>
            <w:tcW w:w="9576" w:type="dxa"/>
          </w:tcPr>
          <w:p w:rsidR="008423E4" w:rsidRDefault="00A543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4316" w:rsidP="008423E4">
      <w:pPr>
        <w:tabs>
          <w:tab w:val="right" w:pos="9360"/>
        </w:tabs>
      </w:pPr>
    </w:p>
    <w:p w:rsidR="008423E4" w:rsidRDefault="00A54316" w:rsidP="008423E4"/>
    <w:p w:rsidR="008423E4" w:rsidRDefault="00A543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4067" w:rsidTr="00345119">
        <w:tc>
          <w:tcPr>
            <w:tcW w:w="9576" w:type="dxa"/>
          </w:tcPr>
          <w:p w:rsidR="008423E4" w:rsidRPr="00A8133F" w:rsidRDefault="00A54316" w:rsidP="00133B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4316" w:rsidP="00133B4E"/>
          <w:p w:rsidR="008423E4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FE568B">
              <w:t xml:space="preserve"> that certain unspent dedicated revenue in the general revenue fund has </w:t>
            </w:r>
            <w:r>
              <w:t xml:space="preserve">recently </w:t>
            </w:r>
            <w:r w:rsidRPr="00FE568B">
              <w:t xml:space="preserve">counted toward overall budget </w:t>
            </w:r>
            <w:r w:rsidRPr="00FE568B">
              <w:t>certification</w:t>
            </w:r>
            <w:r>
              <w:t>,</w:t>
            </w:r>
            <w:r w:rsidRPr="00FE568B">
              <w:t xml:space="preserve"> </w:t>
            </w:r>
            <w:r>
              <w:t xml:space="preserve">while </w:t>
            </w:r>
            <w:r w:rsidRPr="00FE568B">
              <w:t xml:space="preserve">the amount of money in </w:t>
            </w:r>
            <w:r>
              <w:t xml:space="preserve">some of </w:t>
            </w:r>
            <w:r w:rsidRPr="00FE568B">
              <w:t xml:space="preserve">these accounts has </w:t>
            </w:r>
            <w:r>
              <w:t xml:space="preserve">actually </w:t>
            </w:r>
            <w:r w:rsidRPr="00FE568B">
              <w:t>grown during that time. H</w:t>
            </w:r>
            <w:r>
              <w:t>.</w:t>
            </w:r>
            <w:r w:rsidRPr="00FE568B">
              <w:t>B</w:t>
            </w:r>
            <w:r>
              <w:t>.</w:t>
            </w:r>
            <w:r w:rsidRPr="00FE568B">
              <w:t xml:space="preserve"> 2802 seeks to address</w:t>
            </w:r>
            <w:r>
              <w:t xml:space="preserve"> this issue by</w:t>
            </w:r>
            <w:r>
              <w:t xml:space="preserve"> providing for </w:t>
            </w:r>
            <w:r w:rsidRPr="00FE568B">
              <w:t>the availability and use of certain accounts and dedicated revenue</w:t>
            </w:r>
            <w:r>
              <w:t xml:space="preserve"> </w:t>
            </w:r>
            <w:r w:rsidRPr="00FE568B">
              <w:t>and</w:t>
            </w:r>
            <w:r>
              <w:t xml:space="preserve"> by</w:t>
            </w:r>
            <w:r w:rsidRPr="00FE568B">
              <w:t xml:space="preserve"> reduc</w:t>
            </w:r>
            <w:r>
              <w:t>ing</w:t>
            </w:r>
            <w:r w:rsidRPr="00FE568B">
              <w:t xml:space="preserve"> </w:t>
            </w:r>
            <w:r>
              <w:t xml:space="preserve">or affecting </w:t>
            </w:r>
            <w:r w:rsidRPr="00FE568B">
              <w:t>t</w:t>
            </w:r>
            <w:r w:rsidRPr="00FE568B">
              <w:t>he amounts of certain dedicated fees and assessments.</w:t>
            </w:r>
          </w:p>
          <w:p w:rsidR="008423E4" w:rsidRPr="00E26B13" w:rsidRDefault="00A54316" w:rsidP="00133B4E">
            <w:pPr>
              <w:rPr>
                <w:b/>
              </w:rPr>
            </w:pPr>
          </w:p>
        </w:tc>
      </w:tr>
      <w:tr w:rsidR="009D4067" w:rsidTr="00345119">
        <w:tc>
          <w:tcPr>
            <w:tcW w:w="9576" w:type="dxa"/>
          </w:tcPr>
          <w:p w:rsidR="0017725B" w:rsidRDefault="00A54316" w:rsidP="00133B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4316" w:rsidP="00133B4E">
            <w:pPr>
              <w:rPr>
                <w:b/>
                <w:u w:val="single"/>
              </w:rPr>
            </w:pPr>
          </w:p>
          <w:p w:rsidR="00F938D4" w:rsidRPr="00F938D4" w:rsidRDefault="00A54316" w:rsidP="00133B4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A54316" w:rsidP="00133B4E">
            <w:pPr>
              <w:rPr>
                <w:b/>
                <w:u w:val="single"/>
              </w:rPr>
            </w:pPr>
          </w:p>
        </w:tc>
      </w:tr>
      <w:tr w:rsidR="009D4067" w:rsidTr="00345119">
        <w:tc>
          <w:tcPr>
            <w:tcW w:w="9576" w:type="dxa"/>
          </w:tcPr>
          <w:p w:rsidR="008423E4" w:rsidRPr="00A8133F" w:rsidRDefault="00A54316" w:rsidP="00133B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4316" w:rsidP="00133B4E"/>
          <w:p w:rsidR="00F938D4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A54316" w:rsidP="00133B4E">
            <w:pPr>
              <w:rPr>
                <w:b/>
              </w:rPr>
            </w:pPr>
          </w:p>
        </w:tc>
      </w:tr>
      <w:tr w:rsidR="009D4067" w:rsidTr="00345119">
        <w:tc>
          <w:tcPr>
            <w:tcW w:w="9576" w:type="dxa"/>
          </w:tcPr>
          <w:p w:rsidR="008423E4" w:rsidRPr="00A8133F" w:rsidRDefault="00A54316" w:rsidP="00133B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4316" w:rsidP="00133B4E"/>
          <w:p w:rsidR="00F36CC5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2802 amends the Government Code</w:t>
            </w:r>
            <w:r>
              <w:t xml:space="preserve"> to update references to the 85</w:t>
            </w:r>
            <w:r w:rsidRPr="00465265">
              <w:t xml:space="preserve">th Legislature in statutory provisions governing the use of dedicated revenue to reflect </w:t>
            </w:r>
            <w:r>
              <w:t xml:space="preserve">the </w:t>
            </w:r>
            <w:r w:rsidRPr="00465265">
              <w:t>applicati</w:t>
            </w:r>
            <w:r>
              <w:t>on of those provisions to the 86</w:t>
            </w:r>
            <w:r w:rsidRPr="00465265">
              <w:t>th</w:t>
            </w:r>
            <w:r w:rsidRPr="00465265">
              <w:t xml:space="preserve"> Legislature </w:t>
            </w:r>
            <w:r>
              <w:t xml:space="preserve">and </w:t>
            </w:r>
            <w:r w:rsidRPr="00465265">
              <w:t>to change fr</w:t>
            </w:r>
            <w:r>
              <w:t>om August 31, 2019, to August 31, 2021</w:t>
            </w:r>
            <w:r w:rsidRPr="00465265">
              <w:t>, the date on which dedicated revenues estimated to exceed the amount appropriated are considered available for general governmental purposes and for pu</w:t>
            </w:r>
            <w:r>
              <w:t>rposes of certif</w:t>
            </w:r>
            <w:r>
              <w:t xml:space="preserve">ying available funds </w:t>
            </w:r>
            <w:r>
              <w:t>for state budgeting</w:t>
            </w:r>
            <w:r>
              <w:t xml:space="preserve">. The bill establishes that dedicated revenues in the following accounts </w:t>
            </w:r>
            <w:r>
              <w:t xml:space="preserve">or </w:t>
            </w:r>
            <w:r>
              <w:t>funds or that by law are directed to be deposited to the credit of the following accounts or funds are not available for general governmental purposes and are no</w:t>
            </w:r>
            <w:r>
              <w:t xml:space="preserve">t considered available for </w:t>
            </w:r>
            <w:r>
              <w:t xml:space="preserve">such </w:t>
            </w:r>
            <w:r>
              <w:t>certification: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Texas Department of Insurance operating account;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lifetime license endowment account;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permanent fund for health and tobacco education and enforcement</w:t>
            </w:r>
            <w:r>
              <w:t xml:space="preserve"> account</w:t>
            </w:r>
            <w:r>
              <w:t>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permanent fund for children and pub</w:t>
            </w:r>
            <w:r>
              <w:t>lic health</w:t>
            </w:r>
            <w:r>
              <w:t xml:space="preserve"> account</w:t>
            </w:r>
            <w:r>
              <w:t>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permanent fund for emergency medical services and trauma care</w:t>
            </w:r>
            <w:r>
              <w:t xml:space="preserve"> account</w:t>
            </w:r>
            <w:r>
              <w:t>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permanent fund for rural health facility capital improvement</w:t>
            </w:r>
            <w:r>
              <w:t xml:space="preserve"> account</w:t>
            </w:r>
            <w:r>
              <w:t>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permanent hospital fund for capital improvements and the Texas Center for Infectiou</w:t>
            </w:r>
            <w:r>
              <w:t>s Disease</w:t>
            </w:r>
            <w:r>
              <w:t xml:space="preserve"> account</w:t>
            </w:r>
            <w:r>
              <w:t>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child abuse and neglect prevention operating fund</w:t>
            </w:r>
            <w:r>
              <w:t xml:space="preserve"> account</w:t>
            </w:r>
            <w:r>
              <w:t>;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child abuse and neglect prevention trust fund</w:t>
            </w:r>
            <w:r>
              <w:t xml:space="preserve"> account</w:t>
            </w:r>
            <w:r>
              <w:t>; and</w:t>
            </w:r>
          </w:p>
          <w:p w:rsidR="00F36CC5" w:rsidRDefault="00A54316" w:rsidP="00133B4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60" w:after="120"/>
              <w:jc w:val="both"/>
            </w:pPr>
            <w:r>
              <w:t>the separate fund account of each institution of higher education in the general revenue fund.</w:t>
            </w:r>
          </w:p>
          <w:p w:rsidR="00BD20F0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5265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2802</w:t>
            </w:r>
            <w:r>
              <w:t xml:space="preserve"> postpones </w:t>
            </w:r>
            <w:r w:rsidRPr="00465265">
              <w:t xml:space="preserve">the expiration </w:t>
            </w:r>
            <w:r>
              <w:t xml:space="preserve">of </w:t>
            </w:r>
            <w:r w:rsidRPr="00465265">
              <w:t>p</w:t>
            </w:r>
            <w:r>
              <w:t xml:space="preserve">rovisions </w:t>
            </w:r>
            <w:r>
              <w:t xml:space="preserve">governing the use of dedicated revenue </w:t>
            </w:r>
            <w:r>
              <w:t>from September 1, 2019, to September 1, 2021</w:t>
            </w:r>
            <w:r w:rsidRPr="00465265">
              <w:t>.</w:t>
            </w:r>
          </w:p>
          <w:p w:rsidR="00E20E1E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38D4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2802 amend</w:t>
            </w:r>
            <w:r>
              <w:t xml:space="preserve">s the Health and Safety Code to include </w:t>
            </w:r>
            <w:r>
              <w:t>energy</w:t>
            </w:r>
            <w:r>
              <w:t xml:space="preserve"> efficiency upgrades for state facilities and a vehicle emissions inspection and maintenance program administered by the Department of Public Safety among the pro</w:t>
            </w:r>
            <w:r>
              <w:t>jects</w:t>
            </w:r>
            <w:r>
              <w:t xml:space="preserve"> for which the</w:t>
            </w:r>
            <w:r>
              <w:t xml:space="preserve"> Texas Commission on Environmental Quality </w:t>
            </w:r>
            <w:r w:rsidRPr="001C22D9">
              <w:t>and the comptroller</w:t>
            </w:r>
            <w:r w:rsidRPr="001C22D9">
              <w:t xml:space="preserve"> of</w:t>
            </w:r>
            <w:r>
              <w:t xml:space="preserve"> public ac</w:t>
            </w:r>
            <w:r>
              <w:t>counts</w:t>
            </w:r>
            <w:r>
              <w:t xml:space="preserve"> must </w:t>
            </w:r>
            <w:r>
              <w:t>provide grants or other funding under the</w:t>
            </w:r>
            <w:r>
              <w:t xml:space="preserve"> Texas emissions reduction plan. The </w:t>
            </w:r>
            <w:r w:rsidRPr="00811DDF">
              <w:t xml:space="preserve">bill </w:t>
            </w:r>
            <w:r>
              <w:t>authorizes</w:t>
            </w:r>
            <w:r>
              <w:t xml:space="preserve"> the </w:t>
            </w:r>
            <w:r>
              <w:t xml:space="preserve">Commission on State Emergency Communications </w:t>
            </w:r>
            <w:r>
              <w:t xml:space="preserve">(CSEC) </w:t>
            </w:r>
            <w:r>
              <w:t xml:space="preserve">to reduce the amount of the </w:t>
            </w:r>
            <w:r>
              <w:t>50</w:t>
            </w:r>
            <w:r>
              <w:t>-</w:t>
            </w:r>
            <w:r>
              <w:t xml:space="preserve">cent monthly 9-1-1 service </w:t>
            </w:r>
            <w:r>
              <w:t xml:space="preserve">fee </w:t>
            </w:r>
            <w:r>
              <w:t>imposed on each wireless telecom</w:t>
            </w:r>
            <w:r>
              <w:t xml:space="preserve">munications connection </w:t>
            </w:r>
            <w:r>
              <w:t xml:space="preserve">if the </w:t>
            </w:r>
            <w:r>
              <w:t xml:space="preserve">CSEC </w:t>
            </w:r>
            <w:r>
              <w:t>determines that the reduction will not prevent entities providing 9-1-1 service from receiving adequate funding.</w:t>
            </w:r>
          </w:p>
          <w:p w:rsidR="00794F0A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7096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2802 amends the Natural</w:t>
            </w:r>
            <w:r>
              <w:t xml:space="preserve"> Resources Code to</w:t>
            </w:r>
            <w:r>
              <w:t xml:space="preserve"> include as a purpose of the provision</w:t>
            </w:r>
            <w:r>
              <w:t>s</w:t>
            </w:r>
            <w:r>
              <w:t xml:space="preserve"> </w:t>
            </w:r>
            <w:r>
              <w:t>of the Oil Spill Prev</w:t>
            </w:r>
            <w:r>
              <w:t xml:space="preserve">ention and Response Act of 1991 </w:t>
            </w:r>
            <w:r>
              <w:t xml:space="preserve">the provision of </w:t>
            </w:r>
            <w:r>
              <w:t xml:space="preserve">immediately available funds for </w:t>
            </w:r>
            <w:r w:rsidRPr="001449EB">
              <w:t>coastal resiliency projects identified in the Texas Coastal Resiliency Master Plan published by the General Land Office</w:t>
            </w:r>
            <w:r>
              <w:t xml:space="preserve"> (GLO)</w:t>
            </w:r>
            <w:r w:rsidRPr="001449EB">
              <w:t xml:space="preserve"> in 2017 or a successor plan</w:t>
            </w:r>
            <w:r>
              <w:t xml:space="preserve"> and to specify that</w:t>
            </w:r>
            <w:r>
              <w:t xml:space="preserve"> </w:t>
            </w:r>
            <w:r>
              <w:t>t</w:t>
            </w:r>
            <w:r>
              <w:t>he</w:t>
            </w:r>
            <w:r>
              <w:t xml:space="preserve"> erosion response projects </w:t>
            </w:r>
            <w:r>
              <w:t xml:space="preserve">for which immediately available funds </w:t>
            </w:r>
            <w:r>
              <w:t xml:space="preserve">are provided under that act </w:t>
            </w:r>
            <w:r>
              <w:t xml:space="preserve">are </w:t>
            </w:r>
            <w:r>
              <w:t xml:space="preserve">erosion response projects under </w:t>
            </w:r>
            <w:r>
              <w:t xml:space="preserve">applicable </w:t>
            </w:r>
            <w:r>
              <w:t xml:space="preserve">provisions </w:t>
            </w:r>
            <w:r>
              <w:t xml:space="preserve">of </w:t>
            </w:r>
            <w:r w:rsidRPr="00E47096">
              <w:t>the Coastal Public Lands Management Act of 1973</w:t>
            </w:r>
            <w:r>
              <w:t>. Th</w:t>
            </w:r>
            <w:r>
              <w:t xml:space="preserve">e bill establishes that the applicable </w:t>
            </w:r>
            <w:r>
              <w:t xml:space="preserve">provisions of the </w:t>
            </w:r>
            <w:r>
              <w:t>Oil Spill Prevention and Response Act of 1991</w:t>
            </w:r>
            <w:r>
              <w:t xml:space="preserve"> </w:t>
            </w:r>
            <w:r>
              <w:t>do</w:t>
            </w:r>
            <w:r>
              <w:t xml:space="preserve"> not authorize the GLO to </w:t>
            </w:r>
            <w:r w:rsidRPr="009731AE">
              <w:t xml:space="preserve">carry out </w:t>
            </w:r>
            <w:r>
              <w:t xml:space="preserve">a coastal resiliency project </w:t>
            </w:r>
            <w:r w:rsidRPr="009731AE">
              <w:t xml:space="preserve">that the </w:t>
            </w:r>
            <w:r>
              <w:t xml:space="preserve">GLO </w:t>
            </w:r>
            <w:r w:rsidRPr="009731AE">
              <w:t>is not autho</w:t>
            </w:r>
            <w:r>
              <w:t xml:space="preserve">rized by other law to carry out. </w:t>
            </w:r>
          </w:p>
          <w:p w:rsidR="00E47096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38D4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2802 authorize</w:t>
            </w:r>
            <w:r>
              <w:t>s</w:t>
            </w:r>
            <w:r>
              <w:t xml:space="preserve"> money in the coastal protection fund to be </w:t>
            </w:r>
            <w:r>
              <w:t>d</w:t>
            </w:r>
            <w:r>
              <w:t>isbursed</w:t>
            </w:r>
            <w:r>
              <w:t xml:space="preserve"> for</w:t>
            </w:r>
            <w:r>
              <w:t xml:space="preserve"> </w:t>
            </w:r>
            <w:r>
              <w:t>those applicable</w:t>
            </w:r>
            <w:r>
              <w:t xml:space="preserve"> </w:t>
            </w:r>
            <w:r>
              <w:t>c</w:t>
            </w:r>
            <w:r w:rsidRPr="00544C18">
              <w:t>oastal resiliency projects</w:t>
            </w:r>
            <w:r>
              <w:t xml:space="preserve"> and</w:t>
            </w:r>
            <w:r>
              <w:t xml:space="preserve"> exempts sums expended</w:t>
            </w:r>
            <w:r>
              <w:t xml:space="preserve"> for </w:t>
            </w:r>
            <w:r>
              <w:t>such a</w:t>
            </w:r>
            <w:r>
              <w:t xml:space="preserve"> project </w:t>
            </w:r>
            <w:r>
              <w:t xml:space="preserve">from </w:t>
            </w:r>
            <w:r>
              <w:t>certain provisions relating to reimbursing the fund</w:t>
            </w:r>
            <w:r>
              <w:t>.</w:t>
            </w:r>
          </w:p>
          <w:p w:rsidR="00F938D4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38D4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2802 amends the Parks and Wildlife Code to </w:t>
            </w:r>
            <w:r>
              <w:t>authorize</w:t>
            </w:r>
            <w:r>
              <w:t xml:space="preserve"> money in the game, fish, and water s</w:t>
            </w:r>
            <w:r>
              <w:t xml:space="preserve">afety account </w:t>
            </w:r>
            <w:r>
              <w:t xml:space="preserve">to </w:t>
            </w:r>
            <w:r>
              <w:t xml:space="preserve">be </w:t>
            </w:r>
            <w:r>
              <w:t>used</w:t>
            </w:r>
            <w:r>
              <w:t xml:space="preserve"> for those applicable coastal resiliency projects, to the extent allowed by federal law.</w:t>
            </w:r>
            <w:r>
              <w:t xml:space="preserve"> </w:t>
            </w:r>
            <w:r>
              <w:t>That authorization</w:t>
            </w:r>
            <w:r>
              <w:t xml:space="preserve"> do</w:t>
            </w:r>
            <w:r>
              <w:t>es</w:t>
            </w:r>
            <w:r>
              <w:t xml:space="preserve"> not authorize the GLO to carry out</w:t>
            </w:r>
            <w:r>
              <w:t xml:space="preserve"> a coastal resiliency project that the GLO is not authorized by other law to carry ou</w:t>
            </w:r>
            <w:r>
              <w:t>t.</w:t>
            </w:r>
          </w:p>
          <w:p w:rsidR="008423E4" w:rsidRPr="00835628" w:rsidRDefault="00A54316" w:rsidP="00133B4E">
            <w:pPr>
              <w:rPr>
                <w:b/>
              </w:rPr>
            </w:pPr>
          </w:p>
        </w:tc>
      </w:tr>
      <w:tr w:rsidR="009D4067" w:rsidTr="00345119">
        <w:tc>
          <w:tcPr>
            <w:tcW w:w="9576" w:type="dxa"/>
          </w:tcPr>
          <w:p w:rsidR="008423E4" w:rsidRPr="00A8133F" w:rsidRDefault="00A54316" w:rsidP="00133B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4316" w:rsidP="00133B4E"/>
          <w:p w:rsidR="008423E4" w:rsidRPr="003624F2" w:rsidRDefault="00A54316" w:rsidP="00133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54316" w:rsidP="00133B4E">
            <w:pPr>
              <w:rPr>
                <w:b/>
              </w:rPr>
            </w:pPr>
          </w:p>
        </w:tc>
      </w:tr>
    </w:tbl>
    <w:p w:rsidR="008423E4" w:rsidRPr="00BE0E75" w:rsidRDefault="00A543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431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4316">
      <w:r>
        <w:separator/>
      </w:r>
    </w:p>
  </w:endnote>
  <w:endnote w:type="continuationSeparator" w:id="0">
    <w:p w:rsidR="00000000" w:rsidRDefault="00A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4067" w:rsidTr="009C1E9A">
      <w:trPr>
        <w:cantSplit/>
      </w:trPr>
      <w:tc>
        <w:tcPr>
          <w:tcW w:w="0" w:type="pct"/>
        </w:tcPr>
        <w:p w:rsidR="00137D90" w:rsidRDefault="00A543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43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43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43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43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4067" w:rsidTr="009C1E9A">
      <w:trPr>
        <w:cantSplit/>
      </w:trPr>
      <w:tc>
        <w:tcPr>
          <w:tcW w:w="0" w:type="pct"/>
        </w:tcPr>
        <w:p w:rsidR="00EC379B" w:rsidRDefault="00A543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43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24301</w:t>
          </w:r>
        </w:p>
      </w:tc>
      <w:tc>
        <w:tcPr>
          <w:tcW w:w="2453" w:type="pct"/>
        </w:tcPr>
        <w:p w:rsidR="00EC379B" w:rsidRDefault="00A543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19.95.483</w:t>
          </w:r>
          <w:r>
            <w:fldChar w:fldCharType="end"/>
          </w:r>
        </w:p>
      </w:tc>
    </w:tr>
    <w:tr w:rsidR="009D4067" w:rsidTr="009C1E9A">
      <w:trPr>
        <w:cantSplit/>
      </w:trPr>
      <w:tc>
        <w:tcPr>
          <w:tcW w:w="0" w:type="pct"/>
        </w:tcPr>
        <w:p w:rsidR="00EC379B" w:rsidRDefault="00A543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43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4316" w:rsidP="006D504F">
          <w:pPr>
            <w:pStyle w:val="Footer"/>
            <w:rPr>
              <w:rStyle w:val="PageNumber"/>
            </w:rPr>
          </w:pPr>
        </w:p>
        <w:p w:rsidR="00EC379B" w:rsidRDefault="00A543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40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43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543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43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4316">
      <w:r>
        <w:separator/>
      </w:r>
    </w:p>
  </w:footnote>
  <w:footnote w:type="continuationSeparator" w:id="0">
    <w:p w:rsidR="00000000" w:rsidRDefault="00A5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42F2"/>
    <w:multiLevelType w:val="hybridMultilevel"/>
    <w:tmpl w:val="E56042E4"/>
    <w:lvl w:ilvl="0" w:tplc="CB24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E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07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0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C9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CA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1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04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7"/>
    <w:rsid w:val="009D4067"/>
    <w:rsid w:val="00A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25B25E-9B7B-441D-94EE-1438035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4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4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4043</Characters>
  <Application>Microsoft Office Word</Application>
  <DocSecurity>4</DocSecurity>
  <Lines>90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HB02802 (Committee Report (Unamended))</vt:lpstr>
    </vt:vector>
  </TitlesOfParts>
  <Company>State of Texas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24301</dc:subject>
  <dc:creator>State of Texas</dc:creator>
  <dc:description>HB 2802 by Darby-(H)Appropriations</dc:description>
  <cp:lastModifiedBy>Laura Ramsay</cp:lastModifiedBy>
  <cp:revision>2</cp:revision>
  <cp:lastPrinted>2003-11-26T17:21:00Z</cp:lastPrinted>
  <dcterms:created xsi:type="dcterms:W3CDTF">2019-04-11T15:37:00Z</dcterms:created>
  <dcterms:modified xsi:type="dcterms:W3CDTF">2019-04-11T15:37:00Z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19.95.483</vt:lpwstr>
  </property>
</Properties>
</file>