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73A1C" w:rsidTr="00345119">
        <w:tc>
          <w:tcPr>
            <w:tcW w:w="9576" w:type="dxa"/>
            <w:noWrap/>
          </w:tcPr>
          <w:p w:rsidR="008423E4" w:rsidRPr="0022177D" w:rsidRDefault="000D00C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00CE" w:rsidP="008423E4">
      <w:pPr>
        <w:jc w:val="center"/>
      </w:pPr>
    </w:p>
    <w:p w:rsidR="008423E4" w:rsidRPr="00B31F0E" w:rsidRDefault="000D00CE" w:rsidP="008423E4"/>
    <w:p w:rsidR="008423E4" w:rsidRPr="00742794" w:rsidRDefault="000D00C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3A1C" w:rsidTr="00345119">
        <w:tc>
          <w:tcPr>
            <w:tcW w:w="9576" w:type="dxa"/>
          </w:tcPr>
          <w:p w:rsidR="008423E4" w:rsidRPr="00861995" w:rsidRDefault="000D00CE" w:rsidP="00345119">
            <w:pPr>
              <w:jc w:val="right"/>
            </w:pPr>
            <w:r>
              <w:t>C.S.H.B. 2805</w:t>
            </w:r>
          </w:p>
        </w:tc>
      </w:tr>
      <w:tr w:rsidR="00973A1C" w:rsidTr="00345119">
        <w:tc>
          <w:tcPr>
            <w:tcW w:w="9576" w:type="dxa"/>
          </w:tcPr>
          <w:p w:rsidR="008423E4" w:rsidRPr="00861995" w:rsidRDefault="000D00CE" w:rsidP="00FD11E3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973A1C" w:rsidTr="00345119">
        <w:tc>
          <w:tcPr>
            <w:tcW w:w="9576" w:type="dxa"/>
          </w:tcPr>
          <w:p w:rsidR="008423E4" w:rsidRPr="00861995" w:rsidRDefault="000D00CE" w:rsidP="00345119">
            <w:pPr>
              <w:jc w:val="right"/>
            </w:pPr>
            <w:r>
              <w:t>Culture, Recreation &amp; Tourism</w:t>
            </w:r>
          </w:p>
        </w:tc>
      </w:tr>
      <w:tr w:rsidR="00973A1C" w:rsidTr="00345119">
        <w:tc>
          <w:tcPr>
            <w:tcW w:w="9576" w:type="dxa"/>
          </w:tcPr>
          <w:p w:rsidR="008423E4" w:rsidRDefault="000D00C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D00CE" w:rsidP="008423E4">
      <w:pPr>
        <w:tabs>
          <w:tab w:val="right" w:pos="9360"/>
        </w:tabs>
      </w:pPr>
    </w:p>
    <w:p w:rsidR="008423E4" w:rsidRDefault="000D00CE" w:rsidP="008423E4"/>
    <w:p w:rsidR="008423E4" w:rsidRDefault="000D00C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73A1C" w:rsidTr="00345119">
        <w:tc>
          <w:tcPr>
            <w:tcW w:w="9576" w:type="dxa"/>
          </w:tcPr>
          <w:p w:rsidR="008423E4" w:rsidRPr="00A8133F" w:rsidRDefault="000D00CE" w:rsidP="00AE67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00CE" w:rsidP="00AE6778"/>
          <w:p w:rsidR="008423E4" w:rsidRDefault="000D00CE" w:rsidP="00AE6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87086A">
              <w:t xml:space="preserve"> that the process to obtain a permit from</w:t>
            </w:r>
            <w:r>
              <w:t xml:space="preserve"> the</w:t>
            </w:r>
            <w:r w:rsidRPr="0087086A">
              <w:t xml:space="preserve"> Texas Parks and Wildlife </w:t>
            </w:r>
            <w:r>
              <w:t xml:space="preserve">Department </w:t>
            </w:r>
            <w:r w:rsidRPr="0087086A">
              <w:t xml:space="preserve">with regard to </w:t>
            </w:r>
            <w:r w:rsidRPr="0087086A">
              <w:t xml:space="preserve">taking or disturbing marl, sand, gravel, shell, or mudshell or disturbing oyster beds or fishing waters is often confusing. </w:t>
            </w:r>
            <w:r>
              <w:t>There have been calls</w:t>
            </w:r>
            <w:r w:rsidRPr="0087086A">
              <w:t xml:space="preserve"> to standardize the permitting requirements by which both individual and general permits are issued. </w:t>
            </w:r>
            <w:r>
              <w:t>C.S.</w:t>
            </w:r>
            <w:r w:rsidRPr="0087086A">
              <w:t>H</w:t>
            </w:r>
            <w:r>
              <w:t>.</w:t>
            </w:r>
            <w:r w:rsidRPr="0087086A">
              <w:t>B</w:t>
            </w:r>
            <w:r>
              <w:t>.</w:t>
            </w:r>
            <w:r w:rsidRPr="0087086A">
              <w:t xml:space="preserve"> 2</w:t>
            </w:r>
            <w:r w:rsidRPr="0087086A">
              <w:t>805 seeks to address this issue by creating uniform requirements for both the individual and general permit</w:t>
            </w:r>
            <w:r>
              <w:t>s</w:t>
            </w:r>
            <w:r w:rsidRPr="0087086A">
              <w:t>.</w:t>
            </w:r>
          </w:p>
          <w:p w:rsidR="008423E4" w:rsidRPr="00E26B13" w:rsidRDefault="000D00CE" w:rsidP="00AE6778">
            <w:pPr>
              <w:rPr>
                <w:b/>
              </w:rPr>
            </w:pPr>
          </w:p>
        </w:tc>
      </w:tr>
      <w:tr w:rsidR="00973A1C" w:rsidTr="00345119">
        <w:tc>
          <w:tcPr>
            <w:tcW w:w="9576" w:type="dxa"/>
          </w:tcPr>
          <w:p w:rsidR="0017725B" w:rsidRDefault="000D00CE" w:rsidP="00AE67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00CE" w:rsidP="00AE6778">
            <w:pPr>
              <w:rPr>
                <w:b/>
                <w:u w:val="single"/>
              </w:rPr>
            </w:pPr>
          </w:p>
          <w:p w:rsidR="005A5235" w:rsidRPr="005A5235" w:rsidRDefault="000D00CE" w:rsidP="00AE6778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0D00CE" w:rsidP="00AE6778">
            <w:pPr>
              <w:rPr>
                <w:b/>
                <w:u w:val="single"/>
              </w:rPr>
            </w:pPr>
          </w:p>
        </w:tc>
      </w:tr>
      <w:tr w:rsidR="00973A1C" w:rsidTr="00345119">
        <w:tc>
          <w:tcPr>
            <w:tcW w:w="9576" w:type="dxa"/>
          </w:tcPr>
          <w:p w:rsidR="008423E4" w:rsidRPr="00A8133F" w:rsidRDefault="000D00CE" w:rsidP="00AE67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D00CE" w:rsidP="00AE6778"/>
          <w:p w:rsidR="005A5235" w:rsidRDefault="000D00CE" w:rsidP="00AE6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</w:t>
            </w:r>
            <w:r>
              <w:t>to the Parks and Wildlife Commission in SECTION 3 of this bill.</w:t>
            </w:r>
          </w:p>
          <w:p w:rsidR="008423E4" w:rsidRPr="00E21FDC" w:rsidRDefault="000D00CE" w:rsidP="00AE6778">
            <w:pPr>
              <w:rPr>
                <w:b/>
              </w:rPr>
            </w:pPr>
          </w:p>
        </w:tc>
      </w:tr>
      <w:tr w:rsidR="00973A1C" w:rsidTr="00345119">
        <w:tc>
          <w:tcPr>
            <w:tcW w:w="9576" w:type="dxa"/>
          </w:tcPr>
          <w:p w:rsidR="008423E4" w:rsidRPr="00A8133F" w:rsidRDefault="000D00CE" w:rsidP="00AE67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00CE" w:rsidP="00AE6778"/>
          <w:p w:rsidR="00527CFD" w:rsidRDefault="000D00CE" w:rsidP="00AE6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2805 amends the </w:t>
            </w:r>
            <w:r w:rsidRPr="00E95C0E">
              <w:t>Parks and Wildlife Code</w:t>
            </w:r>
            <w:r>
              <w:t xml:space="preserve"> to require the </w:t>
            </w:r>
            <w:r w:rsidRPr="00E95C0E">
              <w:t>Parks and Wildlife Commission</w:t>
            </w:r>
            <w:r>
              <w:t xml:space="preserve"> to </w:t>
            </w:r>
            <w:r w:rsidRPr="00E95C0E">
              <w:t>prescribe a single application form for an individual or general permit</w:t>
            </w:r>
            <w:r>
              <w:t xml:space="preserve"> </w:t>
            </w:r>
            <w:r>
              <w:t xml:space="preserve">authorizing a person </w:t>
            </w:r>
            <w:r>
              <w:t xml:space="preserve">to </w:t>
            </w:r>
            <w:r w:rsidRPr="00BB2F18">
              <w:t xml:space="preserve">disturb or take marl, sand, gravel, shell, or mudshell </w:t>
            </w:r>
            <w:r>
              <w:t xml:space="preserve">under the </w:t>
            </w:r>
            <w:r w:rsidRPr="00BB2F18">
              <w:t xml:space="preserve">management and protection of the </w:t>
            </w:r>
            <w:r>
              <w:t>commission</w:t>
            </w:r>
            <w:r>
              <w:t xml:space="preserve"> </w:t>
            </w:r>
            <w:r w:rsidRPr="00116940">
              <w:t xml:space="preserve">or </w:t>
            </w:r>
            <w:r>
              <w:t xml:space="preserve">to </w:t>
            </w:r>
            <w:r w:rsidRPr="00116940">
              <w:t>operate in or disturb any oyster bed or fishing water for any purpose other than that necessary or incidental to navi</w:t>
            </w:r>
            <w:r w:rsidRPr="00116940">
              <w:t>gation or dredging under state or federal authority</w:t>
            </w:r>
            <w:r>
              <w:t xml:space="preserve">. The bill requires the form to require </w:t>
            </w:r>
            <w:r w:rsidRPr="00E95C0E">
              <w:t>individual and general permit applicants to provide the same information, including information regarding</w:t>
            </w:r>
            <w:r>
              <w:t>:</w:t>
            </w:r>
            <w:r>
              <w:t xml:space="preserve"> </w:t>
            </w:r>
          </w:p>
          <w:p w:rsidR="00527CFD" w:rsidRDefault="000D00CE" w:rsidP="00AE677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95C0E">
              <w:t xml:space="preserve">the publication of notice in </w:t>
            </w:r>
            <w:r>
              <w:t>the</w:t>
            </w:r>
            <w:r w:rsidRPr="00E95C0E">
              <w:t xml:space="preserve"> </w:t>
            </w:r>
            <w:r w:rsidRPr="00E95C0E">
              <w:t>daily or weekly newspape</w:t>
            </w:r>
            <w:r w:rsidRPr="00E95C0E">
              <w:t>r with the greatest circulation in the county or counties affected by the issuance of the permit</w:t>
            </w:r>
            <w:r>
              <w:t xml:space="preserve"> for three consecutive days, if daily, and </w:t>
            </w:r>
            <w:r>
              <w:t xml:space="preserve">in </w:t>
            </w:r>
            <w:r w:rsidRPr="003A3B65">
              <w:t>one newspaper published for the community closest to the proposed area of disturbance, if any</w:t>
            </w:r>
            <w:r>
              <w:t xml:space="preserve">; </w:t>
            </w:r>
          </w:p>
          <w:p w:rsidR="00527CFD" w:rsidRDefault="000D00CE" w:rsidP="00AE677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proof that notice </w:t>
            </w:r>
            <w:r>
              <w:t xml:space="preserve">was sent by certified mail to </w:t>
            </w:r>
            <w:r w:rsidRPr="00E95C0E">
              <w:t>alongshore property owners</w:t>
            </w:r>
            <w:r>
              <w:t xml:space="preserve"> of property</w:t>
            </w:r>
            <w:r w:rsidRPr="00E95C0E">
              <w:t xml:space="preserve"> </w:t>
            </w:r>
            <w:r>
              <w:t>one</w:t>
            </w:r>
            <w:r w:rsidRPr="00E95C0E">
              <w:t xml:space="preserve"> river mile above and below the proposed area of disturbance described in the permit</w:t>
            </w:r>
            <w:r>
              <w:t xml:space="preserve">; </w:t>
            </w:r>
          </w:p>
          <w:p w:rsidR="00527CFD" w:rsidRDefault="000D00CE" w:rsidP="00AE677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95C0E">
              <w:t>a sedimentation impact assessment</w:t>
            </w:r>
            <w:r>
              <w:t xml:space="preserve"> approved by the </w:t>
            </w:r>
            <w:r w:rsidRPr="003A3B65">
              <w:t>Parks and Wildlife Department</w:t>
            </w:r>
            <w:r>
              <w:t xml:space="preserve"> </w:t>
            </w:r>
            <w:r w:rsidRPr="00D554D2">
              <w:t>(TPWD)</w:t>
            </w:r>
            <w:r>
              <w:t xml:space="preserve">; </w:t>
            </w:r>
            <w:r>
              <w:t>and</w:t>
            </w:r>
          </w:p>
          <w:p w:rsidR="00527CFD" w:rsidRDefault="000D00CE" w:rsidP="0054010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A5235">
              <w:t xml:space="preserve">any </w:t>
            </w:r>
            <w:r w:rsidRPr="005A5235">
              <w:t>amendments to the permit, if the application is for the renewal of a permit</w:t>
            </w:r>
            <w:r>
              <w:t>.</w:t>
            </w:r>
            <w:r>
              <w:t xml:space="preserve"> </w:t>
            </w:r>
          </w:p>
          <w:p w:rsidR="008423E4" w:rsidRDefault="000D00CE" w:rsidP="00540108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</w:pPr>
          </w:p>
          <w:p w:rsidR="00D554D2" w:rsidRDefault="000D00CE" w:rsidP="00540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2805 establishes a maximum term length of one year for </w:t>
            </w:r>
            <w:r>
              <w:t xml:space="preserve">a </w:t>
            </w:r>
            <w:r>
              <w:t xml:space="preserve">general </w:t>
            </w:r>
            <w:r>
              <w:t>permit</w:t>
            </w:r>
            <w:r>
              <w:t xml:space="preserve"> and</w:t>
            </w:r>
            <w:r>
              <w:t xml:space="preserve"> requires a person holding a</w:t>
            </w:r>
            <w:r>
              <w:t xml:space="preserve"> </w:t>
            </w:r>
            <w:r>
              <w:t xml:space="preserve">permit to </w:t>
            </w:r>
            <w:r w:rsidRPr="00D554D2">
              <w:t>deliver to TPWD</w:t>
            </w:r>
            <w:r>
              <w:t xml:space="preserve"> </w:t>
            </w:r>
            <w:r w:rsidRPr="00D554D2">
              <w:t>a report</w:t>
            </w:r>
            <w:r w:rsidRPr="00D554D2">
              <w:t xml:space="preserve"> stating how much marl, sand, gravel, shell, or mudshell was removed during the term of the permit.</w:t>
            </w:r>
            <w:r>
              <w:t xml:space="preserve"> The bill requires the commission to </w:t>
            </w:r>
            <w:r w:rsidRPr="009B0620">
              <w:t>adopt rules regarding the delivery and format of the report.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>sets out the conditions under which a project resu</w:t>
            </w:r>
            <w:r>
              <w:t>lts in an insignificant taking or disturbance of marl, sand, gravel, shell, or mudshell for purposes of the exemption from any permit requirement or payment to TPWD for materials removed.</w:t>
            </w:r>
            <w:r>
              <w:t xml:space="preserve"> </w:t>
            </w:r>
          </w:p>
          <w:p w:rsidR="008423E4" w:rsidRPr="00835628" w:rsidRDefault="000D00CE" w:rsidP="00AE6778">
            <w:pPr>
              <w:rPr>
                <w:b/>
              </w:rPr>
            </w:pPr>
          </w:p>
        </w:tc>
      </w:tr>
      <w:tr w:rsidR="00973A1C" w:rsidTr="00345119">
        <w:tc>
          <w:tcPr>
            <w:tcW w:w="9576" w:type="dxa"/>
          </w:tcPr>
          <w:p w:rsidR="008423E4" w:rsidRPr="00A8133F" w:rsidRDefault="000D00CE" w:rsidP="00AE67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D00CE" w:rsidP="00AE6778"/>
          <w:p w:rsidR="008423E4" w:rsidRDefault="000D00CE" w:rsidP="00AE6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D17C6F" w:rsidRPr="00233FDB" w:rsidRDefault="000D00CE" w:rsidP="00AE6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73A1C" w:rsidTr="00345119">
        <w:tc>
          <w:tcPr>
            <w:tcW w:w="9576" w:type="dxa"/>
          </w:tcPr>
          <w:p w:rsidR="00FD11E3" w:rsidRDefault="000D00CE" w:rsidP="00AE677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F80882" w:rsidRDefault="000D00CE" w:rsidP="00AE6778">
            <w:pPr>
              <w:jc w:val="both"/>
            </w:pPr>
          </w:p>
          <w:p w:rsidR="00F80882" w:rsidRDefault="000D00CE" w:rsidP="00AE6778">
            <w:pPr>
              <w:jc w:val="both"/>
            </w:pPr>
            <w:r>
              <w:t>While C.S.H.B. 2805 may differ from the original in minor or nonsubstantive ways, the following summarizes the substantial differences between the introduced and committee substitute versions of the bill.</w:t>
            </w:r>
          </w:p>
          <w:p w:rsidR="00F80882" w:rsidRDefault="000D00CE" w:rsidP="00AE6778">
            <w:pPr>
              <w:jc w:val="both"/>
            </w:pPr>
          </w:p>
          <w:p w:rsidR="00F80882" w:rsidRDefault="000D00CE" w:rsidP="00AE6778">
            <w:pPr>
              <w:jc w:val="both"/>
            </w:pPr>
            <w:r>
              <w:t xml:space="preserve">The substitute </w:t>
            </w:r>
            <w:r>
              <w:t xml:space="preserve">revises </w:t>
            </w:r>
            <w:r>
              <w:t>the information</w:t>
            </w:r>
            <w:r>
              <w:t xml:space="preserve"> required to be included in </w:t>
            </w:r>
            <w:r>
              <w:t>the</w:t>
            </w:r>
            <w:r>
              <w:t xml:space="preserve"> </w:t>
            </w:r>
            <w:r w:rsidRPr="00F80882">
              <w:t>single application form for an individual or general permit</w:t>
            </w:r>
            <w:r>
              <w:t xml:space="preserve">.  </w:t>
            </w:r>
          </w:p>
          <w:p w:rsidR="00F80882" w:rsidRDefault="000D00CE" w:rsidP="00AE6778">
            <w:pPr>
              <w:jc w:val="both"/>
            </w:pPr>
          </w:p>
          <w:p w:rsidR="00392C0D" w:rsidRDefault="000D00CE" w:rsidP="00AE6778">
            <w:pPr>
              <w:jc w:val="both"/>
            </w:pPr>
            <w:r>
              <w:t>The substitute includes the following:</w:t>
            </w:r>
          </w:p>
          <w:p w:rsidR="00392C0D" w:rsidRDefault="000D00CE" w:rsidP="00AE6778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a</w:t>
            </w:r>
            <w:r>
              <w:t xml:space="preserve"> provision establishing the</w:t>
            </w:r>
            <w:r>
              <w:t xml:space="preserve"> maxim</w:t>
            </w:r>
            <w:r>
              <w:t>um term length for a</w:t>
            </w:r>
            <w:r>
              <w:t xml:space="preserve"> general</w:t>
            </w:r>
            <w:r>
              <w:t xml:space="preserve"> permit</w:t>
            </w:r>
            <w:r>
              <w:t>;</w:t>
            </w:r>
          </w:p>
          <w:p w:rsidR="00951B93" w:rsidRDefault="000D00CE" w:rsidP="00AE6778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 xml:space="preserve">a requirement </w:t>
            </w:r>
            <w:r>
              <w:t xml:space="preserve">for </w:t>
            </w:r>
            <w:r>
              <w:t xml:space="preserve">a person holding a permit </w:t>
            </w:r>
            <w:r>
              <w:t xml:space="preserve">to </w:t>
            </w:r>
            <w:r>
              <w:t xml:space="preserve">deliver a report stating how much marl, sand, gravel, shell, or mudshell was removed during </w:t>
            </w:r>
            <w:r>
              <w:t xml:space="preserve">the </w:t>
            </w:r>
            <w:r>
              <w:t>term</w:t>
            </w:r>
            <w:r>
              <w:t xml:space="preserve"> of the permit</w:t>
            </w:r>
            <w:r>
              <w:t xml:space="preserve"> and</w:t>
            </w:r>
            <w:r>
              <w:t xml:space="preserve"> a </w:t>
            </w:r>
            <w:r>
              <w:t>require</w:t>
            </w:r>
            <w:r>
              <w:t>ment for</w:t>
            </w:r>
            <w:r>
              <w:t xml:space="preserve"> the </w:t>
            </w:r>
            <w:r>
              <w:t xml:space="preserve">commission </w:t>
            </w:r>
            <w:r>
              <w:t xml:space="preserve">to adopt rules regarding the </w:t>
            </w:r>
            <w:r>
              <w:t xml:space="preserve">delivery and format of the </w:t>
            </w:r>
            <w:r>
              <w:t>report;</w:t>
            </w:r>
            <w:r>
              <w:t xml:space="preserve"> and</w:t>
            </w:r>
          </w:p>
          <w:p w:rsidR="00F67FF7" w:rsidRDefault="000D00CE" w:rsidP="00540108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a</w:t>
            </w:r>
            <w:r>
              <w:t xml:space="preserve"> provision setting out the conditio</w:t>
            </w:r>
            <w:r>
              <w:t xml:space="preserve">ns under </w:t>
            </w:r>
            <w:r w:rsidRPr="00550A35">
              <w:t>which a project results in an insignificant taking or disturbance of marl, sand, gravel, shell, or mudshell</w:t>
            </w:r>
            <w:r>
              <w:t xml:space="preserve"> for certain exemption purposes</w:t>
            </w:r>
            <w:r>
              <w:t xml:space="preserve">. </w:t>
            </w:r>
          </w:p>
          <w:p w:rsidR="00F80882" w:rsidRPr="00F80882" w:rsidRDefault="000D00CE" w:rsidP="00AE6778">
            <w:pPr>
              <w:jc w:val="both"/>
            </w:pPr>
          </w:p>
        </w:tc>
      </w:tr>
      <w:tr w:rsidR="00973A1C" w:rsidTr="00345119">
        <w:tc>
          <w:tcPr>
            <w:tcW w:w="9576" w:type="dxa"/>
          </w:tcPr>
          <w:p w:rsidR="00FD11E3" w:rsidRPr="009C1E9A" w:rsidRDefault="000D00CE" w:rsidP="00AE6778">
            <w:pPr>
              <w:rPr>
                <w:b/>
                <w:u w:val="single"/>
              </w:rPr>
            </w:pPr>
          </w:p>
        </w:tc>
      </w:tr>
      <w:tr w:rsidR="00973A1C" w:rsidTr="00345119">
        <w:tc>
          <w:tcPr>
            <w:tcW w:w="9576" w:type="dxa"/>
          </w:tcPr>
          <w:p w:rsidR="00FD11E3" w:rsidRPr="00FD11E3" w:rsidRDefault="000D00CE" w:rsidP="00AE6778">
            <w:pPr>
              <w:jc w:val="both"/>
            </w:pPr>
          </w:p>
        </w:tc>
      </w:tr>
    </w:tbl>
    <w:p w:rsidR="008423E4" w:rsidRPr="000C3601" w:rsidRDefault="000D00CE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104A5A" w:rsidRDefault="000D00CE" w:rsidP="008423E4">
      <w:pPr>
        <w:rPr>
          <w:sz w:val="8"/>
        </w:rPr>
      </w:pPr>
    </w:p>
    <w:sectPr w:rsidR="004108C3" w:rsidRPr="00104A5A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00CE">
      <w:r>
        <w:separator/>
      </w:r>
    </w:p>
  </w:endnote>
  <w:endnote w:type="continuationSeparator" w:id="0">
    <w:p w:rsidR="00000000" w:rsidRDefault="000D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0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3A1C" w:rsidTr="009C1E9A">
      <w:trPr>
        <w:cantSplit/>
      </w:trPr>
      <w:tc>
        <w:tcPr>
          <w:tcW w:w="0" w:type="pct"/>
        </w:tcPr>
        <w:p w:rsidR="00137D90" w:rsidRDefault="000D00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00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00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00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00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3A1C" w:rsidTr="009C1E9A">
      <w:trPr>
        <w:cantSplit/>
      </w:trPr>
      <w:tc>
        <w:tcPr>
          <w:tcW w:w="0" w:type="pct"/>
        </w:tcPr>
        <w:p w:rsidR="00EC379B" w:rsidRDefault="000D00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00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26813</w:t>
          </w:r>
        </w:p>
      </w:tc>
      <w:tc>
        <w:tcPr>
          <w:tcW w:w="2453" w:type="pct"/>
        </w:tcPr>
        <w:p w:rsidR="00EC379B" w:rsidRDefault="000D00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19.103.119</w:t>
          </w:r>
          <w:r>
            <w:fldChar w:fldCharType="end"/>
          </w:r>
        </w:p>
      </w:tc>
    </w:tr>
    <w:tr w:rsidR="00973A1C" w:rsidTr="009C1E9A">
      <w:trPr>
        <w:cantSplit/>
      </w:trPr>
      <w:tc>
        <w:tcPr>
          <w:tcW w:w="0" w:type="pct"/>
        </w:tcPr>
        <w:p w:rsidR="00EC379B" w:rsidRDefault="000D00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00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23880</w:t>
          </w:r>
        </w:p>
      </w:tc>
      <w:tc>
        <w:tcPr>
          <w:tcW w:w="2453" w:type="pct"/>
        </w:tcPr>
        <w:p w:rsidR="00EC379B" w:rsidRDefault="000D00CE" w:rsidP="006D504F">
          <w:pPr>
            <w:pStyle w:val="Footer"/>
            <w:rPr>
              <w:rStyle w:val="PageNumber"/>
            </w:rPr>
          </w:pPr>
        </w:p>
        <w:p w:rsidR="00EC379B" w:rsidRDefault="000D00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3A1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00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D00C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00C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0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00CE">
      <w:r>
        <w:separator/>
      </w:r>
    </w:p>
  </w:footnote>
  <w:footnote w:type="continuationSeparator" w:id="0">
    <w:p w:rsidR="00000000" w:rsidRDefault="000D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0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00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0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1ED"/>
    <w:multiLevelType w:val="hybridMultilevel"/>
    <w:tmpl w:val="37EA75D8"/>
    <w:lvl w:ilvl="0" w:tplc="6FDA8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082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A7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E2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A5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E5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29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82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227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25674"/>
    <w:multiLevelType w:val="hybridMultilevel"/>
    <w:tmpl w:val="B9AEDB36"/>
    <w:lvl w:ilvl="0" w:tplc="82A2F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B84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CC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09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6E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34E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42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6F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06D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341BF"/>
    <w:multiLevelType w:val="hybridMultilevel"/>
    <w:tmpl w:val="DCE0424A"/>
    <w:lvl w:ilvl="0" w:tplc="F2321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48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6A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2B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86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42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43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8C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C0D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1C"/>
    <w:rsid w:val="000D00CE"/>
    <w:rsid w:val="009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E1DE47-800B-4FEF-910A-4E43EB3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52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5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52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5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5235"/>
    <w:rPr>
      <w:b/>
      <w:bCs/>
    </w:rPr>
  </w:style>
  <w:style w:type="paragraph" w:styleId="ListParagraph">
    <w:name w:val="List Paragraph"/>
    <w:basedOn w:val="Normal"/>
    <w:uiPriority w:val="34"/>
    <w:qFormat/>
    <w:rsid w:val="0039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3291</Characters>
  <Application>Microsoft Office Word</Application>
  <DocSecurity>4</DocSecurity>
  <Lines>84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HB02805 (Committee Report (Substituted))</vt:lpstr>
    </vt:vector>
  </TitlesOfParts>
  <Company>State of Texas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26813</dc:subject>
  <dc:creator>State of Texas</dc:creator>
  <dc:description>HB 2805 by Darby-(H)Culture, Recreation &amp; Tourism (Substitute Document Number: 86R 23880)</dc:description>
  <cp:lastModifiedBy>Stacey Nicchio</cp:lastModifiedBy>
  <cp:revision>2</cp:revision>
  <cp:lastPrinted>2003-11-26T17:21:00Z</cp:lastPrinted>
  <dcterms:created xsi:type="dcterms:W3CDTF">2019-04-16T21:12:00Z</dcterms:created>
  <dcterms:modified xsi:type="dcterms:W3CDTF">2019-04-16T21:12:00Z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19.103.119</vt:lpwstr>
  </property>
</Properties>
</file>