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45F1F" w:rsidTr="00345119">
        <w:tc>
          <w:tcPr>
            <w:tcW w:w="9576" w:type="dxa"/>
            <w:noWrap/>
          </w:tcPr>
          <w:p w:rsidR="008423E4" w:rsidRPr="0022177D" w:rsidRDefault="001139A7" w:rsidP="00345119">
            <w:pPr>
              <w:pStyle w:val="Heading1"/>
            </w:pPr>
            <w:bookmarkStart w:id="0" w:name="_GoBack"/>
            <w:bookmarkEnd w:id="0"/>
            <w:r>
              <w:t>BILL</w:t>
            </w:r>
            <w:r w:rsidRPr="00631897">
              <w:t xml:space="preserve"> ANALYSIS</w:t>
            </w:r>
          </w:p>
        </w:tc>
      </w:tr>
    </w:tbl>
    <w:p w:rsidR="008423E4" w:rsidRPr="0022177D" w:rsidRDefault="001139A7" w:rsidP="008423E4">
      <w:pPr>
        <w:jc w:val="center"/>
      </w:pPr>
    </w:p>
    <w:p w:rsidR="008423E4" w:rsidRPr="00B31F0E" w:rsidRDefault="001139A7" w:rsidP="008423E4"/>
    <w:p w:rsidR="008423E4" w:rsidRPr="00742794" w:rsidRDefault="001139A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5F1F" w:rsidTr="00345119">
        <w:tc>
          <w:tcPr>
            <w:tcW w:w="9576" w:type="dxa"/>
          </w:tcPr>
          <w:p w:rsidR="008423E4" w:rsidRPr="00861995" w:rsidRDefault="001139A7" w:rsidP="00345119">
            <w:pPr>
              <w:jc w:val="right"/>
            </w:pPr>
            <w:r>
              <w:t>H.B. 2820</w:t>
            </w:r>
          </w:p>
        </w:tc>
      </w:tr>
      <w:tr w:rsidR="00045F1F" w:rsidTr="00345119">
        <w:tc>
          <w:tcPr>
            <w:tcW w:w="9576" w:type="dxa"/>
          </w:tcPr>
          <w:p w:rsidR="008423E4" w:rsidRPr="00861995" w:rsidRDefault="001139A7" w:rsidP="00E50A85">
            <w:pPr>
              <w:jc w:val="right"/>
            </w:pPr>
            <w:r>
              <w:t xml:space="preserve">By: </w:t>
            </w:r>
            <w:r>
              <w:t>Flynn</w:t>
            </w:r>
          </w:p>
        </w:tc>
      </w:tr>
      <w:tr w:rsidR="00045F1F" w:rsidTr="00345119">
        <w:tc>
          <w:tcPr>
            <w:tcW w:w="9576" w:type="dxa"/>
          </w:tcPr>
          <w:p w:rsidR="008423E4" w:rsidRPr="00861995" w:rsidRDefault="001139A7" w:rsidP="00345119">
            <w:pPr>
              <w:jc w:val="right"/>
            </w:pPr>
            <w:r>
              <w:t>Pensions, Investments &amp; Financial Services</w:t>
            </w:r>
          </w:p>
        </w:tc>
      </w:tr>
      <w:tr w:rsidR="00045F1F" w:rsidTr="00345119">
        <w:tc>
          <w:tcPr>
            <w:tcW w:w="9576" w:type="dxa"/>
          </w:tcPr>
          <w:p w:rsidR="008423E4" w:rsidRDefault="001139A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139A7" w:rsidP="008423E4">
      <w:pPr>
        <w:tabs>
          <w:tab w:val="right" w:pos="9360"/>
        </w:tabs>
      </w:pPr>
    </w:p>
    <w:p w:rsidR="008423E4" w:rsidRDefault="001139A7" w:rsidP="008423E4"/>
    <w:p w:rsidR="008423E4" w:rsidRDefault="001139A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45F1F" w:rsidTr="00345119">
        <w:tc>
          <w:tcPr>
            <w:tcW w:w="9576" w:type="dxa"/>
          </w:tcPr>
          <w:p w:rsidR="008423E4" w:rsidRPr="00A8133F" w:rsidRDefault="001139A7" w:rsidP="006B2D2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139A7" w:rsidP="006B2D25"/>
          <w:p w:rsidR="00A916E9" w:rsidRDefault="001139A7" w:rsidP="006B2D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>
              <w:t xml:space="preserve">the </w:t>
            </w:r>
            <w:r>
              <w:t xml:space="preserve">Teacher Retirement System of </w:t>
            </w:r>
            <w:r w:rsidRPr="00A916E9">
              <w:t>Texas</w:t>
            </w:r>
            <w:r>
              <w:t xml:space="preserve"> (TRS) regulation of certain investment products offered to</w:t>
            </w:r>
            <w:r w:rsidRPr="00A916E9">
              <w:t xml:space="preserve"> teachers and other </w:t>
            </w:r>
            <w:r>
              <w:t xml:space="preserve">public </w:t>
            </w:r>
            <w:r w:rsidRPr="00A916E9">
              <w:t>school employees duplicates existing state and federal regulation</w:t>
            </w:r>
            <w:r>
              <w:t xml:space="preserve"> of these products and that TRS</w:t>
            </w:r>
            <w:r>
              <w:t>,</w:t>
            </w:r>
            <w:r>
              <w:t xml:space="preserve"> </w:t>
            </w:r>
            <w:r>
              <w:t xml:space="preserve">having </w:t>
            </w:r>
            <w:r>
              <w:t>limited resources to comply with regulation requirements</w:t>
            </w:r>
            <w:r>
              <w:t>,</w:t>
            </w:r>
            <w:r>
              <w:t xml:space="preserve"> often t</w:t>
            </w:r>
            <w:r>
              <w:t>urns to other state agencies and private entities for assistance</w:t>
            </w:r>
            <w:r w:rsidRPr="00A916E9">
              <w:t xml:space="preserve">. H.B. 2820 </w:t>
            </w:r>
            <w:r>
              <w:t xml:space="preserve">seeks to </w:t>
            </w:r>
            <w:r>
              <w:t xml:space="preserve">remedy this situation and allow TRS to focus on its core function of monitoring </w:t>
            </w:r>
            <w:r>
              <w:t>Texas' largest public pension fund</w:t>
            </w:r>
            <w:r>
              <w:t xml:space="preserve"> </w:t>
            </w:r>
            <w:r>
              <w:t xml:space="preserve">by </w:t>
            </w:r>
            <w:r w:rsidRPr="00A916E9">
              <w:t>remov</w:t>
            </w:r>
            <w:r>
              <w:t>ing</w:t>
            </w:r>
            <w:r w:rsidRPr="00A916E9">
              <w:t xml:space="preserve"> TRS</w:t>
            </w:r>
            <w:r>
              <w:t>’s role in</w:t>
            </w:r>
            <w:r w:rsidRPr="00A916E9">
              <w:t xml:space="preserve"> </w:t>
            </w:r>
            <w:r>
              <w:t>the</w:t>
            </w:r>
            <w:r w:rsidRPr="00A916E9">
              <w:t xml:space="preserve"> regulation</w:t>
            </w:r>
            <w:r>
              <w:t xml:space="preserve"> of these produc</w:t>
            </w:r>
            <w:r>
              <w:t>ts</w:t>
            </w:r>
            <w:r w:rsidRPr="00A916E9">
              <w:t>.</w:t>
            </w:r>
          </w:p>
          <w:p w:rsidR="008423E4" w:rsidRPr="00E26B13" w:rsidRDefault="001139A7" w:rsidP="006B2D25">
            <w:pPr>
              <w:rPr>
                <w:b/>
              </w:rPr>
            </w:pPr>
          </w:p>
        </w:tc>
      </w:tr>
      <w:tr w:rsidR="00045F1F" w:rsidTr="00345119">
        <w:tc>
          <w:tcPr>
            <w:tcW w:w="9576" w:type="dxa"/>
          </w:tcPr>
          <w:p w:rsidR="0017725B" w:rsidRDefault="001139A7" w:rsidP="006B2D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139A7" w:rsidP="006B2D25">
            <w:pPr>
              <w:rPr>
                <w:b/>
                <w:u w:val="single"/>
              </w:rPr>
            </w:pPr>
          </w:p>
          <w:p w:rsidR="0057659E" w:rsidRPr="0057659E" w:rsidRDefault="001139A7" w:rsidP="006B2D2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1139A7" w:rsidP="006B2D25">
            <w:pPr>
              <w:rPr>
                <w:b/>
                <w:u w:val="single"/>
              </w:rPr>
            </w:pPr>
          </w:p>
        </w:tc>
      </w:tr>
      <w:tr w:rsidR="00045F1F" w:rsidTr="00345119">
        <w:tc>
          <w:tcPr>
            <w:tcW w:w="9576" w:type="dxa"/>
          </w:tcPr>
          <w:p w:rsidR="008423E4" w:rsidRPr="00A8133F" w:rsidRDefault="001139A7" w:rsidP="006B2D2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139A7" w:rsidP="006B2D25"/>
          <w:p w:rsidR="0057659E" w:rsidRDefault="001139A7" w:rsidP="006B2D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139A7" w:rsidP="006B2D25">
            <w:pPr>
              <w:rPr>
                <w:b/>
              </w:rPr>
            </w:pPr>
          </w:p>
        </w:tc>
      </w:tr>
      <w:tr w:rsidR="00045F1F" w:rsidTr="00345119">
        <w:tc>
          <w:tcPr>
            <w:tcW w:w="9576" w:type="dxa"/>
          </w:tcPr>
          <w:p w:rsidR="008423E4" w:rsidRPr="00A8133F" w:rsidRDefault="001139A7" w:rsidP="006B2D2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139A7" w:rsidP="006B2D25"/>
          <w:p w:rsidR="00DC2CD1" w:rsidRDefault="001139A7" w:rsidP="006B2D25">
            <w:pPr>
              <w:pStyle w:val="Header"/>
              <w:jc w:val="both"/>
            </w:pPr>
            <w:r>
              <w:t xml:space="preserve">H.B 2820 </w:t>
            </w:r>
            <w:r>
              <w:t xml:space="preserve">repeals </w:t>
            </w:r>
            <w:r>
              <w:t>Vernon's</w:t>
            </w:r>
            <w:r>
              <w:t xml:space="preserve"> Texas Civil Statutes </w:t>
            </w:r>
            <w:r>
              <w:t xml:space="preserve">provisions </w:t>
            </w:r>
            <w:r>
              <w:t xml:space="preserve">providing for </w:t>
            </w:r>
            <w:r>
              <w:t xml:space="preserve">the Teacher Retirement System of Texas </w:t>
            </w:r>
            <w:r>
              <w:t xml:space="preserve">certification of companies offering eligible qualified investment products </w:t>
            </w:r>
            <w:r>
              <w:t xml:space="preserve">and </w:t>
            </w:r>
            <w:r>
              <w:t>the registration of such</w:t>
            </w:r>
            <w:r>
              <w:t xml:space="preserve"> product</w:t>
            </w:r>
            <w:r>
              <w:t>s,</w:t>
            </w:r>
            <w:r>
              <w:t xml:space="preserve"> </w:t>
            </w:r>
            <w:r>
              <w:t xml:space="preserve">for which </w:t>
            </w:r>
            <w:r w:rsidRPr="001016EE">
              <w:t>a</w:t>
            </w:r>
            <w:r>
              <w:t>n employee of a public school</w:t>
            </w:r>
            <w:r>
              <w:t xml:space="preserve"> district or open-enrollment charter school</w:t>
            </w:r>
            <w:r>
              <w:t xml:space="preserve"> may enter into a salary reduction agreement</w:t>
            </w:r>
            <w:r>
              <w:t>, including provisions relating to the setting and collecting of certification and registration fees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DC2CD1" w:rsidRDefault="001139A7" w:rsidP="006B2D25">
            <w:pPr>
              <w:pStyle w:val="Header"/>
              <w:jc w:val="both"/>
            </w:pPr>
          </w:p>
          <w:p w:rsidR="0029203C" w:rsidRDefault="001139A7" w:rsidP="006B2D25">
            <w:pPr>
              <w:pStyle w:val="Header"/>
              <w:jc w:val="both"/>
            </w:pPr>
            <w:r>
              <w:t xml:space="preserve">H.B 2820 amends Vernon's Texas Civil Statutes </w:t>
            </w:r>
            <w:r>
              <w:t xml:space="preserve">to </w:t>
            </w:r>
            <w:r>
              <w:t>revise</w:t>
            </w:r>
            <w:r>
              <w:t xml:space="preserve"> certain</w:t>
            </w:r>
            <w:r>
              <w:t xml:space="preserve"> </w:t>
            </w:r>
            <w:r>
              <w:t>eligibility criteria</w:t>
            </w:r>
            <w:r>
              <w:t xml:space="preserve"> for a company authorized to offer such products </w:t>
            </w:r>
            <w:r>
              <w:t xml:space="preserve">by </w:t>
            </w:r>
            <w:r>
              <w:t xml:space="preserve">making </w:t>
            </w:r>
            <w:r>
              <w:t xml:space="preserve">the following companies </w:t>
            </w:r>
            <w:r>
              <w:t xml:space="preserve">eligible to offer </w:t>
            </w:r>
            <w:r>
              <w:t xml:space="preserve">such </w:t>
            </w:r>
            <w:r>
              <w:t>product</w:t>
            </w:r>
            <w:r>
              <w:t>s</w:t>
            </w:r>
            <w:r>
              <w:t>:</w:t>
            </w:r>
          </w:p>
          <w:p w:rsidR="00D77F79" w:rsidRDefault="001139A7" w:rsidP="006B2D25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an insurance company </w:t>
            </w:r>
            <w:r w:rsidRPr="001C5450">
              <w:t>licensed by the Texas Department of Insurance</w:t>
            </w:r>
            <w:r>
              <w:t xml:space="preserve"> (TDI)</w:t>
            </w:r>
            <w:r>
              <w:t xml:space="preserve"> </w:t>
            </w:r>
            <w:r>
              <w:t>that</w:t>
            </w:r>
            <w:r w:rsidRPr="001C5450">
              <w:t xml:space="preserve"> </w:t>
            </w:r>
            <w:r>
              <w:t xml:space="preserve">is </w:t>
            </w:r>
            <w:r w:rsidRPr="001C5450">
              <w:t xml:space="preserve">in compliance with minimum capital and surplus requirements, including applicable risk-based capital and surplus requirements prescribed by rules adopted by </w:t>
            </w:r>
            <w:r>
              <w:t>TDI</w:t>
            </w:r>
            <w:r>
              <w:t>, and has experience in providing such products and a specialized department dedicated to the se</w:t>
            </w:r>
            <w:r>
              <w:t>rvice of such products, as determined by the educational institution; and</w:t>
            </w:r>
          </w:p>
          <w:p w:rsidR="00D77F79" w:rsidRDefault="001139A7" w:rsidP="006B2D25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 company that offers </w:t>
            </w:r>
            <w:r>
              <w:t xml:space="preserve">qualified investment </w:t>
            </w:r>
            <w:r>
              <w:t xml:space="preserve">products other than annuity contracts, including a company that offers </w:t>
            </w:r>
            <w:r>
              <w:t xml:space="preserve">certain </w:t>
            </w:r>
            <w:r>
              <w:t>custodial accounts under the federal Internal Revenue Code o</w:t>
            </w:r>
            <w:r>
              <w:t>f 1986</w:t>
            </w:r>
            <w:r>
              <w:t>.</w:t>
            </w:r>
          </w:p>
          <w:p w:rsidR="00586669" w:rsidRDefault="001139A7" w:rsidP="006B2D25">
            <w:pPr>
              <w:pStyle w:val="Header"/>
              <w:jc w:val="both"/>
            </w:pPr>
          </w:p>
          <w:p w:rsidR="00FA33BB" w:rsidRDefault="001139A7" w:rsidP="006B2D25">
            <w:pPr>
              <w:pStyle w:val="Header"/>
              <w:jc w:val="both"/>
            </w:pPr>
            <w:r>
              <w:t>H.B. 2820</w:t>
            </w:r>
            <w:r>
              <w:t xml:space="preserve"> changes</w:t>
            </w:r>
            <w:r>
              <w:t xml:space="preserve"> the conditions under which a</w:t>
            </w:r>
            <w:r>
              <w:t>n authorized</w:t>
            </w:r>
            <w:r>
              <w:t xml:space="preserve"> financial institution may enter </w:t>
            </w:r>
            <w:r>
              <w:t xml:space="preserve">into </w:t>
            </w:r>
            <w:r>
              <w:t>or renew a contract to provide services for or administer an applicable plan</w:t>
            </w:r>
            <w:r>
              <w:t xml:space="preserve"> offered under the federal Internal Revenue Code of 1986</w:t>
            </w:r>
            <w:r>
              <w:t xml:space="preserve"> </w:t>
            </w:r>
            <w:r>
              <w:t>from</w:t>
            </w:r>
            <w:r>
              <w:t xml:space="preserve"> </w:t>
            </w:r>
            <w:r>
              <w:t>the instituti</w:t>
            </w:r>
            <w:r>
              <w:t xml:space="preserve">on </w:t>
            </w:r>
            <w:r>
              <w:t>having its main office, a branch office, or a trust office in Texas</w:t>
            </w:r>
            <w:r>
              <w:t xml:space="preserve"> to</w:t>
            </w:r>
            <w:r>
              <w:t xml:space="preserve"> </w:t>
            </w:r>
            <w:r>
              <w:t xml:space="preserve">the institution </w:t>
            </w:r>
            <w:r>
              <w:t xml:space="preserve">having </w:t>
            </w:r>
            <w:r>
              <w:t xml:space="preserve">a sufficient presence in Texas to serve the employees of educational institutions who participate in the plan. </w:t>
            </w:r>
          </w:p>
          <w:p w:rsidR="00586669" w:rsidRDefault="001139A7" w:rsidP="006B2D25">
            <w:pPr>
              <w:pStyle w:val="Header"/>
              <w:jc w:val="both"/>
            </w:pPr>
          </w:p>
          <w:p w:rsidR="00AA6628" w:rsidRDefault="001139A7" w:rsidP="006B2D25">
            <w:pPr>
              <w:pStyle w:val="Header"/>
              <w:jc w:val="both"/>
            </w:pPr>
            <w:r>
              <w:t xml:space="preserve">H.B. 2820 </w:t>
            </w:r>
            <w:r>
              <w:t>amends</w:t>
            </w:r>
            <w:r>
              <w:t xml:space="preserve"> the Business &amp; Commerce Code</w:t>
            </w:r>
            <w:r>
              <w:t xml:space="preserve"> </w:t>
            </w:r>
            <w:r>
              <w:t>to make</w:t>
            </w:r>
            <w:r>
              <w:t xml:space="preserve"> a</w:t>
            </w:r>
            <w:r>
              <w:t xml:space="preserve"> conforming change.</w:t>
            </w:r>
            <w:r>
              <w:t xml:space="preserve"> </w:t>
            </w:r>
          </w:p>
          <w:p w:rsidR="00AA6628" w:rsidRDefault="001139A7" w:rsidP="006B2D25">
            <w:pPr>
              <w:pStyle w:val="Header"/>
              <w:jc w:val="both"/>
            </w:pPr>
          </w:p>
          <w:p w:rsidR="00AA6628" w:rsidRDefault="001139A7" w:rsidP="006B2D25">
            <w:pPr>
              <w:pStyle w:val="Header"/>
              <w:jc w:val="both"/>
            </w:pPr>
            <w:r>
              <w:t xml:space="preserve">H.B. 2820 repeals the following provisions of </w:t>
            </w:r>
            <w:r w:rsidRPr="00AA6628">
              <w:t>Chapter 22 (S.B. 17), Acts of the 57th Legislature, 3rd Called Session, 1962 (Article 6228a-5,</w:t>
            </w:r>
            <w:r>
              <w:t xml:space="preserve"> Vernon's Texas Civil Statutes):</w:t>
            </w:r>
          </w:p>
          <w:p w:rsidR="009F788A" w:rsidRDefault="001139A7" w:rsidP="006B2D2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AA6628">
              <w:t>Sections 5(b), (c), (d), and (e)</w:t>
            </w:r>
          </w:p>
          <w:p w:rsidR="00AA6628" w:rsidRDefault="001139A7" w:rsidP="006B2D2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AA6628">
              <w:t>Sections 6(c), (d),</w:t>
            </w:r>
            <w:r w:rsidRPr="00AA6628">
              <w:t xml:space="preserve"> (d-1), (d-2), (e), (f), (f-1), (g), (h), and (i) </w:t>
            </w:r>
          </w:p>
          <w:p w:rsidR="00AA6628" w:rsidRDefault="001139A7" w:rsidP="006B2D2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AA6628">
              <w:t>Section 7</w:t>
            </w:r>
          </w:p>
          <w:p w:rsidR="00AA6628" w:rsidRDefault="001139A7" w:rsidP="006B2D2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AA6628">
              <w:t>Section 8</w:t>
            </w:r>
          </w:p>
          <w:p w:rsidR="00AA6628" w:rsidRDefault="001139A7" w:rsidP="006B2D2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AA6628">
              <w:t>Section 8A</w:t>
            </w:r>
            <w:r>
              <w:t xml:space="preserve"> </w:t>
            </w:r>
          </w:p>
          <w:p w:rsidR="009F788A" w:rsidRDefault="001139A7" w:rsidP="006B2D2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AA6628">
              <w:t>Section 11(b)</w:t>
            </w:r>
          </w:p>
          <w:p w:rsidR="00AA48F1" w:rsidRPr="00D634D7" w:rsidRDefault="001139A7" w:rsidP="006B2D2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AA6628">
              <w:t>Section 13</w:t>
            </w:r>
            <w:r>
              <w:t xml:space="preserve"> </w:t>
            </w:r>
            <w:r>
              <w:t xml:space="preserve"> </w:t>
            </w:r>
            <w:r>
              <w:t xml:space="preserve">        </w:t>
            </w:r>
          </w:p>
        </w:tc>
      </w:tr>
      <w:tr w:rsidR="00045F1F" w:rsidTr="00345119">
        <w:tc>
          <w:tcPr>
            <w:tcW w:w="9576" w:type="dxa"/>
          </w:tcPr>
          <w:p w:rsidR="008423E4" w:rsidRPr="00A8133F" w:rsidRDefault="001139A7" w:rsidP="006B2D2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139A7" w:rsidP="006B2D25"/>
          <w:p w:rsidR="008423E4" w:rsidRPr="003624F2" w:rsidRDefault="001139A7" w:rsidP="006B2D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139A7" w:rsidP="006B2D25">
            <w:pPr>
              <w:rPr>
                <w:b/>
              </w:rPr>
            </w:pPr>
          </w:p>
        </w:tc>
      </w:tr>
    </w:tbl>
    <w:p w:rsidR="008423E4" w:rsidRPr="00BE0E75" w:rsidRDefault="001139A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139A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39A7">
      <w:r>
        <w:separator/>
      </w:r>
    </w:p>
  </w:endnote>
  <w:endnote w:type="continuationSeparator" w:id="0">
    <w:p w:rsidR="00000000" w:rsidRDefault="0011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3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5F1F" w:rsidTr="009C1E9A">
      <w:trPr>
        <w:cantSplit/>
      </w:trPr>
      <w:tc>
        <w:tcPr>
          <w:tcW w:w="0" w:type="pct"/>
        </w:tcPr>
        <w:p w:rsidR="00137D90" w:rsidRDefault="001139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139A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139A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139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139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5F1F" w:rsidTr="009C1E9A">
      <w:trPr>
        <w:cantSplit/>
      </w:trPr>
      <w:tc>
        <w:tcPr>
          <w:tcW w:w="0" w:type="pct"/>
        </w:tcPr>
        <w:p w:rsidR="00EC379B" w:rsidRDefault="001139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139A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20941</w:t>
          </w:r>
        </w:p>
      </w:tc>
      <w:tc>
        <w:tcPr>
          <w:tcW w:w="2453" w:type="pct"/>
        </w:tcPr>
        <w:p w:rsidR="00EC379B" w:rsidRDefault="001139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19.80.797</w:t>
          </w:r>
          <w:r>
            <w:fldChar w:fldCharType="end"/>
          </w:r>
        </w:p>
      </w:tc>
    </w:tr>
    <w:tr w:rsidR="00045F1F" w:rsidTr="009C1E9A">
      <w:trPr>
        <w:cantSplit/>
      </w:trPr>
      <w:tc>
        <w:tcPr>
          <w:tcW w:w="0" w:type="pct"/>
        </w:tcPr>
        <w:p w:rsidR="00EC379B" w:rsidRDefault="001139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139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139A7" w:rsidP="006D504F">
          <w:pPr>
            <w:pStyle w:val="Footer"/>
            <w:rPr>
              <w:rStyle w:val="PageNumber"/>
            </w:rPr>
          </w:pPr>
        </w:p>
        <w:p w:rsidR="00EC379B" w:rsidRDefault="001139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5F1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139A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139A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139A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3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39A7">
      <w:r>
        <w:separator/>
      </w:r>
    </w:p>
  </w:footnote>
  <w:footnote w:type="continuationSeparator" w:id="0">
    <w:p w:rsidR="00000000" w:rsidRDefault="0011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3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3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13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FC3"/>
    <w:multiLevelType w:val="hybridMultilevel"/>
    <w:tmpl w:val="C63EBF70"/>
    <w:lvl w:ilvl="0" w:tplc="75467B44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42E0E306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F092D450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B9BAB930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FFBA0B48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3D089F2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69405B84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7DAD5E4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218B67E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B8C7D61"/>
    <w:multiLevelType w:val="hybridMultilevel"/>
    <w:tmpl w:val="70AC17BC"/>
    <w:lvl w:ilvl="0" w:tplc="18060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86A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C2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6F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CEE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68F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D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EBF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1F"/>
    <w:rsid w:val="00045F1F"/>
    <w:rsid w:val="0011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7B9AC2-B2AF-4F66-B17F-50FEBDC9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39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3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39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3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3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4</DocSecurity>
  <Lines>74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HB02820 (Committee Report (Unamended))</vt:lpstr>
    </vt:vector>
  </TitlesOfParts>
  <Company>State of Texas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20941</dc:subject>
  <dc:creator>State of Texas</dc:creator>
  <dc:description>HB 2820 by Flynn-(H)Pensions, Investments &amp; Financial Services</dc:description>
  <cp:lastModifiedBy>Laura Ramsay</cp:lastModifiedBy>
  <cp:revision>2</cp:revision>
  <cp:lastPrinted>2019-03-21T17:04:00Z</cp:lastPrinted>
  <dcterms:created xsi:type="dcterms:W3CDTF">2019-04-01T22:01:00Z</dcterms:created>
  <dcterms:modified xsi:type="dcterms:W3CDTF">2019-04-01T22:01:00Z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19.80.797</vt:lpwstr>
  </property>
</Properties>
</file>