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52F3" w:rsidTr="00345119">
        <w:tc>
          <w:tcPr>
            <w:tcW w:w="9576" w:type="dxa"/>
            <w:noWrap/>
          </w:tcPr>
          <w:p w:rsidR="008423E4" w:rsidRPr="0022177D" w:rsidRDefault="006834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3478" w:rsidP="008423E4">
      <w:pPr>
        <w:jc w:val="center"/>
      </w:pPr>
    </w:p>
    <w:p w:rsidR="008423E4" w:rsidRPr="00B31F0E" w:rsidRDefault="00683478" w:rsidP="008423E4"/>
    <w:p w:rsidR="008423E4" w:rsidRPr="00742794" w:rsidRDefault="006834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52F3" w:rsidTr="00345119">
        <w:tc>
          <w:tcPr>
            <w:tcW w:w="9576" w:type="dxa"/>
          </w:tcPr>
          <w:p w:rsidR="008423E4" w:rsidRPr="00861995" w:rsidRDefault="00683478" w:rsidP="00345119">
            <w:pPr>
              <w:jc w:val="right"/>
            </w:pPr>
            <w:r>
              <w:t>C.S.H.B. 2845</w:t>
            </w:r>
          </w:p>
        </w:tc>
      </w:tr>
      <w:tr w:rsidR="004C52F3" w:rsidTr="00345119">
        <w:tc>
          <w:tcPr>
            <w:tcW w:w="9576" w:type="dxa"/>
          </w:tcPr>
          <w:p w:rsidR="008423E4" w:rsidRPr="00861995" w:rsidRDefault="00683478" w:rsidP="005A1C3A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4C52F3" w:rsidTr="00345119">
        <w:tc>
          <w:tcPr>
            <w:tcW w:w="9576" w:type="dxa"/>
          </w:tcPr>
          <w:p w:rsidR="008423E4" w:rsidRPr="00861995" w:rsidRDefault="00683478" w:rsidP="00345119">
            <w:pPr>
              <w:jc w:val="right"/>
            </w:pPr>
            <w:r>
              <w:t>State Affairs</w:t>
            </w:r>
          </w:p>
        </w:tc>
      </w:tr>
      <w:tr w:rsidR="004C52F3" w:rsidTr="00345119">
        <w:tc>
          <w:tcPr>
            <w:tcW w:w="9576" w:type="dxa"/>
          </w:tcPr>
          <w:p w:rsidR="008423E4" w:rsidRDefault="0068347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83478" w:rsidP="008423E4">
      <w:pPr>
        <w:tabs>
          <w:tab w:val="right" w:pos="9360"/>
        </w:tabs>
      </w:pPr>
    </w:p>
    <w:p w:rsidR="008423E4" w:rsidRDefault="00683478" w:rsidP="008423E4"/>
    <w:p w:rsidR="008423E4" w:rsidRDefault="006834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52F3" w:rsidTr="00345119">
        <w:tc>
          <w:tcPr>
            <w:tcW w:w="9576" w:type="dxa"/>
          </w:tcPr>
          <w:p w:rsidR="008423E4" w:rsidRPr="00A8133F" w:rsidRDefault="00683478" w:rsidP="00970A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3478" w:rsidP="00970A75"/>
          <w:p w:rsidR="0023547F" w:rsidRDefault="00683478" w:rsidP="00970A75">
            <w:pPr>
              <w:pStyle w:val="Header"/>
              <w:jc w:val="both"/>
            </w:pPr>
            <w:r>
              <w:t xml:space="preserve">There have been calls for the legislature to do more to </w:t>
            </w:r>
            <w:r>
              <w:t>regulat</w:t>
            </w:r>
            <w:r>
              <w:t>e</w:t>
            </w:r>
            <w:r>
              <w:t xml:space="preserve"> the decommissioning of wind </w:t>
            </w:r>
            <w:r>
              <w:t>power facilities and to establish certain</w:t>
            </w:r>
            <w:r>
              <w:t xml:space="preserve"> basic landowner rights </w:t>
            </w:r>
            <w:r>
              <w:t xml:space="preserve">with </w:t>
            </w:r>
            <w:r>
              <w:t xml:space="preserve">regard to </w:t>
            </w:r>
            <w:r>
              <w:t>facility</w:t>
            </w:r>
            <w:r>
              <w:t xml:space="preserve"> leases</w:t>
            </w:r>
            <w:r>
              <w:t xml:space="preserve">, given the </w:t>
            </w:r>
            <w:r>
              <w:t xml:space="preserve">possibility </w:t>
            </w:r>
            <w:r>
              <w:t xml:space="preserve">for </w:t>
            </w:r>
            <w:r>
              <w:t>facility</w:t>
            </w:r>
            <w:r>
              <w:t xml:space="preserve"> owners to abandon their liabilities if they go out of business or </w:t>
            </w:r>
            <w:r>
              <w:t>do not have adequate funds</w:t>
            </w:r>
            <w:r>
              <w:t xml:space="preserve"> to remove the facility at the end of its lifespan</w:t>
            </w:r>
            <w:r>
              <w:t xml:space="preserve">. </w:t>
            </w:r>
            <w:r>
              <w:t>C.S.</w:t>
            </w:r>
            <w:r>
              <w:t>H.B. 2845 seeks t</w:t>
            </w:r>
            <w:r>
              <w:t xml:space="preserve">o </w:t>
            </w:r>
            <w:r>
              <w:t>address this issue</w:t>
            </w:r>
            <w:r>
              <w:t xml:space="preserve"> by </w:t>
            </w:r>
            <w:r>
              <w:t>requiring a wind power facility agreement to include specified</w:t>
            </w:r>
            <w:r>
              <w:t xml:space="preserve"> </w:t>
            </w:r>
            <w:r>
              <w:t>provisions on</w:t>
            </w:r>
            <w:r>
              <w:t xml:space="preserve"> facility removal and establishing basic financial obligations with regard to </w:t>
            </w:r>
            <w:r>
              <w:t>such an</w:t>
            </w:r>
            <w:r>
              <w:t xml:space="preserve"> agreement.</w:t>
            </w:r>
          </w:p>
          <w:p w:rsidR="008423E4" w:rsidRPr="00E26B13" w:rsidRDefault="00683478" w:rsidP="00970A75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4C52F3" w:rsidTr="00345119">
        <w:tc>
          <w:tcPr>
            <w:tcW w:w="9576" w:type="dxa"/>
          </w:tcPr>
          <w:p w:rsidR="0017725B" w:rsidRDefault="00683478" w:rsidP="00970A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3478" w:rsidP="00970A75">
            <w:pPr>
              <w:rPr>
                <w:b/>
                <w:u w:val="single"/>
              </w:rPr>
            </w:pPr>
          </w:p>
          <w:p w:rsidR="00257EF8" w:rsidRPr="00257EF8" w:rsidRDefault="00683478" w:rsidP="00970A75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83478" w:rsidP="00970A75">
            <w:pPr>
              <w:rPr>
                <w:b/>
                <w:u w:val="single"/>
              </w:rPr>
            </w:pPr>
          </w:p>
        </w:tc>
      </w:tr>
      <w:tr w:rsidR="004C52F3" w:rsidTr="00345119">
        <w:tc>
          <w:tcPr>
            <w:tcW w:w="9576" w:type="dxa"/>
          </w:tcPr>
          <w:p w:rsidR="008423E4" w:rsidRPr="00A8133F" w:rsidRDefault="00683478" w:rsidP="00970A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683478" w:rsidP="00970A75"/>
          <w:p w:rsidR="00257EF8" w:rsidRDefault="00683478" w:rsidP="00970A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83478" w:rsidP="00970A75">
            <w:pPr>
              <w:rPr>
                <w:b/>
              </w:rPr>
            </w:pPr>
          </w:p>
        </w:tc>
      </w:tr>
      <w:tr w:rsidR="004C52F3" w:rsidTr="00345119">
        <w:tc>
          <w:tcPr>
            <w:tcW w:w="9576" w:type="dxa"/>
          </w:tcPr>
          <w:p w:rsidR="008423E4" w:rsidRPr="00A8133F" w:rsidRDefault="00683478" w:rsidP="00970A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3478" w:rsidP="00970A75"/>
          <w:p w:rsidR="0082257D" w:rsidRDefault="00683478" w:rsidP="00970A75">
            <w:pPr>
              <w:pStyle w:val="Header"/>
              <w:jc w:val="both"/>
            </w:pPr>
            <w:r>
              <w:t>C.S.</w:t>
            </w:r>
            <w:r>
              <w:t xml:space="preserve">H.B. 2845 amends the Utilities Code to require </w:t>
            </w:r>
            <w:r>
              <w:t xml:space="preserve">a wind power facility agreement to </w:t>
            </w:r>
            <w:r>
              <w:t>contain the following provisions</w:t>
            </w:r>
            <w:r>
              <w:t xml:space="preserve"> with respect to facility removal</w:t>
            </w:r>
            <w:r>
              <w:t>:</w:t>
            </w:r>
          </w:p>
          <w:p w:rsidR="00404E07" w:rsidRDefault="00683478" w:rsidP="00970A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B330ED">
              <w:t>that the grantee is responsible for removing the grantee's wind power facilities</w:t>
            </w:r>
            <w:r>
              <w:t xml:space="preserve"> </w:t>
            </w:r>
            <w:r w:rsidRPr="00B330ED">
              <w:t>from the landowner's</w:t>
            </w:r>
            <w:r>
              <w:t xml:space="preserve"> property</w:t>
            </w:r>
            <w:r>
              <w:t>;</w:t>
            </w:r>
          </w:p>
          <w:p w:rsidR="0082257D" w:rsidRDefault="00683478" w:rsidP="00970A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that the grantee is required to take other</w:t>
            </w:r>
            <w:r>
              <w:t xml:space="preserve"> actions related to such removal as </w:t>
            </w:r>
            <w:r>
              <w:t>described by</w:t>
            </w:r>
            <w:r>
              <w:t xml:space="preserve"> the bill, including actions related to road removal and surface restoration as requested by a landowner and as restricted by the bill; and</w:t>
            </w:r>
            <w:r>
              <w:t xml:space="preserve"> </w:t>
            </w:r>
          </w:p>
          <w:p w:rsidR="0082257D" w:rsidRDefault="00683478" w:rsidP="00970A7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that </w:t>
            </w:r>
            <w:r w:rsidRPr="0082257D">
              <w:t>the grantee is required to obtain and deliver to the landowner</w:t>
            </w:r>
            <w:r w:rsidRPr="0082257D">
              <w:t xml:space="preserve"> a bond or other form of financial assurance to secure the performance of the grantee's obligation to remove the facilities located on the landowner's property</w:t>
            </w:r>
            <w:r>
              <w:t xml:space="preserve"> in an amount that is </w:t>
            </w:r>
            <w:r w:rsidRPr="0082257D">
              <w:t xml:space="preserve">at least equal to the estimated </w:t>
            </w:r>
            <w:r>
              <w:t xml:space="preserve">amount by which the </w:t>
            </w:r>
            <w:r w:rsidRPr="0082257D">
              <w:t>cost of removing the fa</w:t>
            </w:r>
            <w:r w:rsidRPr="0082257D">
              <w:t xml:space="preserve">cilities from the property and restoring the property to as near as reasonably possible the condition of the property as of the date the agreement </w:t>
            </w:r>
            <w:r w:rsidRPr="00970A75">
              <w:t>begins</w:t>
            </w:r>
            <w:r w:rsidRPr="00970A75">
              <w:t xml:space="preserve"> exceeds</w:t>
            </w:r>
            <w:r>
              <w:t xml:space="preserve"> the salvage value of the facilities, less any portion of that value pledged to secure outstand</w:t>
            </w:r>
            <w:r>
              <w:t>ing debt</w:t>
            </w:r>
            <w:r w:rsidRPr="0082257D">
              <w:t>.</w:t>
            </w:r>
          </w:p>
          <w:p w:rsidR="00241E52" w:rsidRDefault="00683478" w:rsidP="00970A75">
            <w:pPr>
              <w:pStyle w:val="Header"/>
              <w:jc w:val="both"/>
            </w:pPr>
            <w:r>
              <w:t xml:space="preserve">The bill </w:t>
            </w:r>
            <w:r>
              <w:t>sets out additional required agreement</w:t>
            </w:r>
            <w:r>
              <w:t xml:space="preserve"> provisions</w:t>
            </w:r>
            <w:r>
              <w:t xml:space="preserve"> </w:t>
            </w:r>
            <w:r>
              <w:t xml:space="preserve">relating to the deadline for delivery of the bond or other financial assurance, </w:t>
            </w:r>
            <w:r>
              <w:t xml:space="preserve">requiring certain estimated costs to be determined by </w:t>
            </w:r>
            <w:r>
              <w:t>a</w:t>
            </w:r>
            <w:r>
              <w:t xml:space="preserve">n </w:t>
            </w:r>
            <w:r>
              <w:t>independent</w:t>
            </w:r>
            <w:r>
              <w:t>, third-party professional</w:t>
            </w:r>
            <w:r>
              <w:t xml:space="preserve"> engineer</w:t>
            </w:r>
            <w:r>
              <w:t xml:space="preserve"> licensed in Texas, </w:t>
            </w:r>
            <w:r>
              <w:t>providing for</w:t>
            </w:r>
            <w:r>
              <w:t xml:space="preserve"> updated estimates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making</w:t>
            </w:r>
            <w:r>
              <w:t xml:space="preserve"> the grantee </w:t>
            </w:r>
            <w:r>
              <w:t xml:space="preserve">responsible for </w:t>
            </w:r>
            <w:r>
              <w:t xml:space="preserve">ensuring </w:t>
            </w:r>
            <w:r>
              <w:t xml:space="preserve">that </w:t>
            </w:r>
            <w:r>
              <w:t xml:space="preserve">the amount of the bond or other financial assurance </w:t>
            </w:r>
            <w:r>
              <w:t>remains sufficient to cover the required amount, consistent with those estimates</w:t>
            </w:r>
            <w:r>
              <w:t>.</w:t>
            </w:r>
          </w:p>
          <w:p w:rsidR="00241E52" w:rsidRDefault="00683478" w:rsidP="00970A75">
            <w:pPr>
              <w:pStyle w:val="Header"/>
              <w:jc w:val="both"/>
            </w:pPr>
          </w:p>
          <w:p w:rsidR="00804D02" w:rsidRDefault="00683478" w:rsidP="00970A75">
            <w:pPr>
              <w:pStyle w:val="Header"/>
              <w:jc w:val="both"/>
            </w:pPr>
          </w:p>
          <w:p w:rsidR="00241E52" w:rsidRDefault="00683478" w:rsidP="00970A75">
            <w:pPr>
              <w:pStyle w:val="Header"/>
              <w:jc w:val="both"/>
            </w:pPr>
            <w:r>
              <w:t xml:space="preserve">C.S.H.B. 2845 </w:t>
            </w:r>
            <w:r>
              <w:t>makes</w:t>
            </w:r>
            <w:r>
              <w:t xml:space="preserve"> the </w:t>
            </w:r>
            <w:r w:rsidRPr="00925408">
              <w:t xml:space="preserve">grantee responsible for </w:t>
            </w:r>
            <w:r>
              <w:t>certain associated</w:t>
            </w:r>
            <w:r w:rsidRPr="00925408">
              <w:t xml:space="preserve"> </w:t>
            </w:r>
            <w:r w:rsidRPr="00925408">
              <w:t>costs</w:t>
            </w:r>
            <w:r>
              <w:t xml:space="preserve"> and</w:t>
            </w:r>
            <w:r w:rsidRPr="00925408">
              <w:t xml:space="preserve"> </w:t>
            </w:r>
            <w:r>
              <w:t xml:space="preserve">prohibits the grantee from </w:t>
            </w:r>
            <w:r>
              <w:t xml:space="preserve">canceling </w:t>
            </w:r>
            <w:r w:rsidRPr="00925408">
              <w:t>a bond or other financial assurance before the date the grantee has completed the grantee's obligation to remove the facilities located on the landowner's p</w:t>
            </w:r>
            <w:r w:rsidRPr="00925408">
              <w:t xml:space="preserve">roperty in the manner provided by </w:t>
            </w:r>
            <w:r>
              <w:t>the bill</w:t>
            </w:r>
            <w:r w:rsidRPr="00925408">
              <w:t>, unless the grantee provides the landowner with a replacement bond or replacement financial assurance at the time of or before the cancellation</w:t>
            </w:r>
            <w:r>
              <w:t>.</w:t>
            </w:r>
            <w:r>
              <w:t xml:space="preserve"> </w:t>
            </w:r>
            <w:r>
              <w:t xml:space="preserve">The bill requires the financial security provided by the grantee to </w:t>
            </w:r>
            <w:r>
              <w:t xml:space="preserve">remain in place </w:t>
            </w:r>
            <w:r>
              <w:t xml:space="preserve">in the event of a transfer of ownership of the grantee's wind power facilities </w:t>
            </w:r>
            <w:r>
              <w:t>until the date evidence of financial security meeting the requirements of the bill's provisions is provided to the landowner.</w:t>
            </w:r>
          </w:p>
          <w:p w:rsidR="00241E52" w:rsidRDefault="00683478" w:rsidP="00970A75">
            <w:pPr>
              <w:pStyle w:val="Header"/>
              <w:jc w:val="both"/>
            </w:pPr>
          </w:p>
          <w:p w:rsidR="0089499B" w:rsidRDefault="00683478" w:rsidP="00970A75">
            <w:pPr>
              <w:pStyle w:val="Header"/>
              <w:jc w:val="both"/>
            </w:pPr>
            <w:r>
              <w:t>C.S.</w:t>
            </w:r>
            <w:r>
              <w:t>H.B. 2845</w:t>
            </w:r>
            <w:r>
              <w:t xml:space="preserve"> defines "grantee" as</w:t>
            </w:r>
            <w:r>
              <w:t xml:space="preserve"> a person who leases property from a landowner and operates a wind power facility on the property and establishes that "wind power facility" includes a wind turbine generator and a facility or equipment used to support the operation of a wind turbine gener</w:t>
            </w:r>
            <w:r>
              <w:t>ator.</w:t>
            </w:r>
          </w:p>
          <w:p w:rsidR="0089499B" w:rsidRDefault="00683478" w:rsidP="00970A75">
            <w:pPr>
              <w:pStyle w:val="Header"/>
              <w:jc w:val="both"/>
            </w:pPr>
          </w:p>
          <w:p w:rsidR="008423E4" w:rsidRDefault="00683478" w:rsidP="00970A75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2845 </w:t>
            </w:r>
            <w:r>
              <w:t>void</w:t>
            </w:r>
            <w:r>
              <w:t>s</w:t>
            </w:r>
            <w:r>
              <w:t xml:space="preserve"> a </w:t>
            </w:r>
            <w:r w:rsidRPr="00B330ED">
              <w:t xml:space="preserve">provision of a wind power facility agreement that purports to waive a right or exempt a grantee from a liability or duty established by </w:t>
            </w:r>
            <w:r>
              <w:t>the bill's provisions</w:t>
            </w:r>
            <w:r w:rsidRPr="00B330ED">
              <w:t>.</w:t>
            </w:r>
            <w:r>
              <w:t xml:space="preserve"> The bill entitles a person who is harmed by a violation of the bill's provisions to </w:t>
            </w:r>
            <w:r w:rsidRPr="00B330ED">
              <w:t>appropriate injunctive relief to prevent further</w:t>
            </w:r>
            <w:r>
              <w:t xml:space="preserve"> such</w:t>
            </w:r>
            <w:r w:rsidRPr="00B330ED">
              <w:t xml:space="preserve"> violation</w:t>
            </w:r>
            <w:r>
              <w:t>. The</w:t>
            </w:r>
            <w:r>
              <w:t xml:space="preserve"> bill establishes that the</w:t>
            </w:r>
            <w:r>
              <w:t xml:space="preserve">se provisions are not exclusive and </w:t>
            </w:r>
            <w:r>
              <w:t xml:space="preserve">that </w:t>
            </w:r>
            <w:r>
              <w:t xml:space="preserve">the </w:t>
            </w:r>
            <w:r w:rsidRPr="00B330ED">
              <w:t xml:space="preserve">remedies provided </w:t>
            </w:r>
            <w:r>
              <w:t xml:space="preserve">by these </w:t>
            </w:r>
            <w:r>
              <w:t>provisions</w:t>
            </w:r>
            <w:r w:rsidRPr="00B330ED">
              <w:t xml:space="preserve"> are in addition to any other procedures or remedies provided by other law.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683478" w:rsidP="00970A75">
            <w:pPr>
              <w:rPr>
                <w:b/>
              </w:rPr>
            </w:pPr>
          </w:p>
        </w:tc>
      </w:tr>
      <w:tr w:rsidR="004C52F3" w:rsidTr="00345119">
        <w:tc>
          <w:tcPr>
            <w:tcW w:w="9576" w:type="dxa"/>
          </w:tcPr>
          <w:p w:rsidR="008423E4" w:rsidRPr="00A8133F" w:rsidRDefault="00683478" w:rsidP="00970A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3478" w:rsidP="00970A75"/>
          <w:p w:rsidR="00D54C32" w:rsidRDefault="00683478" w:rsidP="00970A75">
            <w:pPr>
              <w:pStyle w:val="Header"/>
              <w:jc w:val="both"/>
            </w:pPr>
            <w:r>
              <w:t xml:space="preserve">September 1, 2019. </w:t>
            </w:r>
          </w:p>
          <w:p w:rsidR="008423E4" w:rsidRPr="00233FDB" w:rsidRDefault="00683478" w:rsidP="00970A75">
            <w:pPr>
              <w:rPr>
                <w:b/>
              </w:rPr>
            </w:pPr>
          </w:p>
        </w:tc>
      </w:tr>
      <w:tr w:rsidR="004C52F3" w:rsidTr="00345119">
        <w:tc>
          <w:tcPr>
            <w:tcW w:w="9576" w:type="dxa"/>
          </w:tcPr>
          <w:p w:rsidR="005A1C3A" w:rsidRDefault="00683478" w:rsidP="00970A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91AE9" w:rsidRDefault="00683478" w:rsidP="00970A75">
            <w:pPr>
              <w:jc w:val="both"/>
            </w:pPr>
          </w:p>
          <w:p w:rsidR="00E91AE9" w:rsidRDefault="00683478" w:rsidP="00970A75">
            <w:pPr>
              <w:jc w:val="both"/>
            </w:pPr>
            <w:r>
              <w:t>While C.S.H.B. 2845 may differ from the original in minor or nonsubstantive ways, the fo</w:t>
            </w:r>
            <w:r>
              <w:t>llowing summarizes the substantial differences between the introduced and committee substitute versions of the bill.</w:t>
            </w:r>
          </w:p>
          <w:p w:rsidR="00E91AE9" w:rsidRDefault="00683478" w:rsidP="00970A75">
            <w:pPr>
              <w:jc w:val="both"/>
            </w:pPr>
          </w:p>
          <w:p w:rsidR="00E91AE9" w:rsidRDefault="00683478" w:rsidP="00970A75">
            <w:pPr>
              <w:jc w:val="both"/>
            </w:pPr>
            <w:r>
              <w:t xml:space="preserve">The substitute </w:t>
            </w:r>
            <w:r>
              <w:t>revises the requirement for a wind power facility agreement to provide that an affected surface is returned to a certain co</w:t>
            </w:r>
            <w:r>
              <w:t xml:space="preserve">ndition. The substitute changes the date </w:t>
            </w:r>
            <w:r>
              <w:t>on which the</w:t>
            </w:r>
            <w:r>
              <w:t xml:space="preserve"> required limitations period</w:t>
            </w:r>
            <w:r>
              <w:t xml:space="preserve"> begins</w:t>
            </w:r>
            <w:r>
              <w:t xml:space="preserve"> </w:t>
            </w:r>
            <w:r>
              <w:t xml:space="preserve">for </w:t>
            </w:r>
            <w:r>
              <w:t>certain</w:t>
            </w:r>
            <w:r>
              <w:t xml:space="preserve"> landowner </w:t>
            </w:r>
            <w:r>
              <w:t>requests regarding facility removal</w:t>
            </w:r>
            <w:r>
              <w:t>.</w:t>
            </w:r>
          </w:p>
          <w:p w:rsidR="00BB177B" w:rsidRDefault="00683478" w:rsidP="00970A75">
            <w:pPr>
              <w:jc w:val="both"/>
            </w:pPr>
          </w:p>
          <w:p w:rsidR="008B05DE" w:rsidRDefault="00683478" w:rsidP="00970A75">
            <w:pPr>
              <w:jc w:val="both"/>
            </w:pPr>
            <w:r>
              <w:t xml:space="preserve">The substitute, with regard to </w:t>
            </w:r>
            <w:r>
              <w:t xml:space="preserve">required </w:t>
            </w:r>
            <w:r>
              <w:t xml:space="preserve">agreement provisions </w:t>
            </w:r>
            <w:r>
              <w:t>that relate</w:t>
            </w:r>
            <w:r>
              <w:t xml:space="preserve"> to the removal bond or other finan</w:t>
            </w:r>
            <w:r>
              <w:t>cial assurance:</w:t>
            </w:r>
          </w:p>
          <w:p w:rsidR="008B05DE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revises the required amount to permit the deduction of unpledged salvage value;</w:t>
            </w:r>
          </w:p>
          <w:p w:rsidR="0000104B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does not include</w:t>
            </w:r>
            <w:r>
              <w:t xml:space="preserve"> provisions allowing the landowner and grantee to attempt to agree</w:t>
            </w:r>
            <w:r>
              <w:t xml:space="preserve"> on</w:t>
            </w:r>
            <w:r>
              <w:t xml:space="preserve"> an estimated cost before being required to select an independent engineer to </w:t>
            </w:r>
            <w:r>
              <w:t xml:space="preserve">determine that cost and providing for </w:t>
            </w:r>
            <w:r>
              <w:t>the engineer's appointment by a district judge</w:t>
            </w:r>
            <w:r>
              <w:t>,</w:t>
            </w:r>
            <w:r>
              <w:t xml:space="preserve"> if necessary; </w:t>
            </w:r>
          </w:p>
          <w:p w:rsidR="008F1793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includes</w:t>
            </w:r>
            <w:r>
              <w:t xml:space="preserve"> provisions </w:t>
            </w:r>
            <w:r>
              <w:t xml:space="preserve">instead </w:t>
            </w:r>
            <w:r>
              <w:t xml:space="preserve">requiring an independent engineer to make </w:t>
            </w:r>
            <w:r>
              <w:t>the</w:t>
            </w:r>
            <w:r>
              <w:t xml:space="preserve"> estimates</w:t>
            </w:r>
            <w:r>
              <w:t xml:space="preserve"> necessary for the agreement</w:t>
            </w:r>
            <w:r>
              <w:t>,</w:t>
            </w:r>
            <w:r>
              <w:t xml:space="preserve"> providing for subsequent updates to th</w:t>
            </w:r>
            <w:r>
              <w:t>ose</w:t>
            </w:r>
            <w:r>
              <w:t xml:space="preserve"> estimates</w:t>
            </w:r>
            <w:r>
              <w:t>,</w:t>
            </w:r>
            <w:r>
              <w:t xml:space="preserve"> and </w:t>
            </w:r>
            <w:r>
              <w:t>requiring the grantee to ensure</w:t>
            </w:r>
            <w:r>
              <w:t xml:space="preserve"> </w:t>
            </w:r>
            <w:r>
              <w:t xml:space="preserve">the </w:t>
            </w:r>
            <w:r>
              <w:t>amount of the bond or other financial assurance remains consistent with such updates;</w:t>
            </w:r>
          </w:p>
          <w:p w:rsidR="00F82E4C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does not include required bond adjust</w:t>
            </w:r>
            <w:r>
              <w:t>ment procedures;</w:t>
            </w:r>
            <w:r>
              <w:t xml:space="preserve"> </w:t>
            </w:r>
          </w:p>
          <w:p w:rsidR="00B22B16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makes a certain revision to the deadline for delivery of the bond or other assurance; and</w:t>
            </w:r>
          </w:p>
          <w:p w:rsidR="00910913" w:rsidRDefault="00683478" w:rsidP="00804D0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includes a </w:t>
            </w:r>
            <w:r>
              <w:t xml:space="preserve">contingency </w:t>
            </w:r>
            <w:r>
              <w:t>provision for a transfer of ownership of the facilities.</w:t>
            </w:r>
          </w:p>
          <w:p w:rsidR="00E91AE9" w:rsidRPr="00E91AE9" w:rsidRDefault="00683478" w:rsidP="00970A75">
            <w:pPr>
              <w:jc w:val="both"/>
            </w:pPr>
          </w:p>
        </w:tc>
      </w:tr>
      <w:tr w:rsidR="004C52F3" w:rsidTr="00345119">
        <w:tc>
          <w:tcPr>
            <w:tcW w:w="9576" w:type="dxa"/>
          </w:tcPr>
          <w:p w:rsidR="005A1C3A" w:rsidRPr="009C1E9A" w:rsidRDefault="00683478" w:rsidP="00970A75">
            <w:pPr>
              <w:rPr>
                <w:b/>
                <w:u w:val="single"/>
              </w:rPr>
            </w:pPr>
          </w:p>
        </w:tc>
      </w:tr>
      <w:tr w:rsidR="004C52F3" w:rsidTr="00345119">
        <w:tc>
          <w:tcPr>
            <w:tcW w:w="9576" w:type="dxa"/>
          </w:tcPr>
          <w:p w:rsidR="005A1C3A" w:rsidRPr="005A1C3A" w:rsidRDefault="00683478" w:rsidP="00970A75">
            <w:pPr>
              <w:jc w:val="both"/>
            </w:pPr>
          </w:p>
        </w:tc>
      </w:tr>
    </w:tbl>
    <w:p w:rsidR="008423E4" w:rsidRPr="00BE0E75" w:rsidRDefault="006834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347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3478">
      <w:r>
        <w:separator/>
      </w:r>
    </w:p>
  </w:endnote>
  <w:endnote w:type="continuationSeparator" w:id="0">
    <w:p w:rsidR="00000000" w:rsidRDefault="006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52F3" w:rsidTr="009C1E9A">
      <w:trPr>
        <w:cantSplit/>
      </w:trPr>
      <w:tc>
        <w:tcPr>
          <w:tcW w:w="0" w:type="pct"/>
        </w:tcPr>
        <w:p w:rsidR="00137D90" w:rsidRDefault="0068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34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34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2F3" w:rsidTr="009C1E9A">
      <w:trPr>
        <w:cantSplit/>
      </w:trPr>
      <w:tc>
        <w:tcPr>
          <w:tcW w:w="0" w:type="pct"/>
        </w:tcPr>
        <w:p w:rsidR="00EC379B" w:rsidRDefault="006834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34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26620</w:t>
          </w:r>
        </w:p>
      </w:tc>
      <w:tc>
        <w:tcPr>
          <w:tcW w:w="2453" w:type="pct"/>
        </w:tcPr>
        <w:p w:rsidR="00EC379B" w:rsidRDefault="0068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19.102.1179</w:t>
          </w:r>
          <w:r>
            <w:fldChar w:fldCharType="end"/>
          </w:r>
        </w:p>
      </w:tc>
    </w:tr>
    <w:tr w:rsidR="004C52F3" w:rsidTr="009C1E9A">
      <w:trPr>
        <w:cantSplit/>
      </w:trPr>
      <w:tc>
        <w:tcPr>
          <w:tcW w:w="0" w:type="pct"/>
        </w:tcPr>
        <w:p w:rsidR="00EC379B" w:rsidRDefault="006834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34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24513</w:t>
          </w:r>
        </w:p>
      </w:tc>
      <w:tc>
        <w:tcPr>
          <w:tcW w:w="2453" w:type="pct"/>
        </w:tcPr>
        <w:p w:rsidR="00EC379B" w:rsidRDefault="00683478" w:rsidP="006D504F">
          <w:pPr>
            <w:pStyle w:val="Footer"/>
            <w:rPr>
              <w:rStyle w:val="PageNumber"/>
            </w:rPr>
          </w:pPr>
        </w:p>
        <w:p w:rsidR="00EC379B" w:rsidRDefault="006834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52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34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834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34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3478">
      <w:r>
        <w:separator/>
      </w:r>
    </w:p>
  </w:footnote>
  <w:footnote w:type="continuationSeparator" w:id="0">
    <w:p w:rsidR="00000000" w:rsidRDefault="0068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3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C45"/>
    <w:multiLevelType w:val="hybridMultilevel"/>
    <w:tmpl w:val="B194FE52"/>
    <w:lvl w:ilvl="0" w:tplc="91AA8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4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9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6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0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3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3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0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86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97E83"/>
    <w:multiLevelType w:val="hybridMultilevel"/>
    <w:tmpl w:val="5C0A7C96"/>
    <w:lvl w:ilvl="0" w:tplc="03E6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2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45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4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42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43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68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62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3"/>
    <w:rsid w:val="004C52F3"/>
    <w:rsid w:val="006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6B3A17-8464-46E6-98B4-7FB4B1A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3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0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0ED"/>
    <w:rPr>
      <w:b/>
      <w:bCs/>
    </w:rPr>
  </w:style>
  <w:style w:type="paragraph" w:styleId="Revision">
    <w:name w:val="Revision"/>
    <w:hidden/>
    <w:uiPriority w:val="99"/>
    <w:semiHidden/>
    <w:rsid w:val="009219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4958</Characters>
  <Application>Microsoft Office Word</Application>
  <DocSecurity>4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HB02845 (Committee Report (Substituted))</vt:lpstr>
    </vt:vector>
  </TitlesOfParts>
  <Company>State of Texas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26620</dc:subject>
  <dc:creator>State of Texas</dc:creator>
  <dc:description>HB 2845 by Canales-(H)State Affairs (Substitute Document Number: 86R 24513)</dc:description>
  <cp:lastModifiedBy>Laura Ramsay</cp:lastModifiedBy>
  <cp:revision>2</cp:revision>
  <cp:lastPrinted>2003-11-26T17:21:00Z</cp:lastPrinted>
  <dcterms:created xsi:type="dcterms:W3CDTF">2019-04-16T23:08:00Z</dcterms:created>
  <dcterms:modified xsi:type="dcterms:W3CDTF">2019-04-16T23:08:00Z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19.102.1179</vt:lpwstr>
  </property>
</Properties>
</file>