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65D69" w:rsidTr="00345119">
        <w:tc>
          <w:tcPr>
            <w:tcW w:w="9576" w:type="dxa"/>
            <w:noWrap/>
          </w:tcPr>
          <w:p w:rsidR="008423E4" w:rsidRPr="0022177D" w:rsidRDefault="00A26CB9" w:rsidP="00345119">
            <w:pPr>
              <w:pStyle w:val="Heading1"/>
            </w:pPr>
            <w:bookmarkStart w:id="0" w:name="_GoBack"/>
            <w:bookmarkEnd w:id="0"/>
            <w:r w:rsidRPr="00631897">
              <w:t>BILL ANALYSIS</w:t>
            </w:r>
          </w:p>
        </w:tc>
      </w:tr>
    </w:tbl>
    <w:p w:rsidR="008423E4" w:rsidRPr="0022177D" w:rsidRDefault="00A26CB9" w:rsidP="008423E4">
      <w:pPr>
        <w:jc w:val="center"/>
      </w:pPr>
    </w:p>
    <w:p w:rsidR="008423E4" w:rsidRPr="00B31F0E" w:rsidRDefault="00A26CB9" w:rsidP="008423E4"/>
    <w:p w:rsidR="008423E4" w:rsidRPr="00742794" w:rsidRDefault="00A26CB9" w:rsidP="008423E4">
      <w:pPr>
        <w:tabs>
          <w:tab w:val="right" w:pos="9360"/>
        </w:tabs>
      </w:pPr>
    </w:p>
    <w:tbl>
      <w:tblPr>
        <w:tblW w:w="0" w:type="auto"/>
        <w:tblLayout w:type="fixed"/>
        <w:tblLook w:val="01E0" w:firstRow="1" w:lastRow="1" w:firstColumn="1" w:lastColumn="1" w:noHBand="0" w:noVBand="0"/>
      </w:tblPr>
      <w:tblGrid>
        <w:gridCol w:w="9576"/>
      </w:tblGrid>
      <w:tr w:rsidR="00465D69" w:rsidTr="00345119">
        <w:tc>
          <w:tcPr>
            <w:tcW w:w="9576" w:type="dxa"/>
          </w:tcPr>
          <w:p w:rsidR="008423E4" w:rsidRPr="00861995" w:rsidRDefault="00A26CB9" w:rsidP="00345119">
            <w:pPr>
              <w:jc w:val="right"/>
            </w:pPr>
            <w:r>
              <w:t>C.S.H.B. 2855</w:t>
            </w:r>
          </w:p>
        </w:tc>
      </w:tr>
      <w:tr w:rsidR="00465D69" w:rsidTr="00345119">
        <w:tc>
          <w:tcPr>
            <w:tcW w:w="9576" w:type="dxa"/>
          </w:tcPr>
          <w:p w:rsidR="008423E4" w:rsidRPr="00861995" w:rsidRDefault="00A26CB9" w:rsidP="00785066">
            <w:pPr>
              <w:jc w:val="right"/>
            </w:pPr>
            <w:r>
              <w:t xml:space="preserve">By: </w:t>
            </w:r>
            <w:r>
              <w:t>Landgraf</w:t>
            </w:r>
          </w:p>
        </w:tc>
      </w:tr>
      <w:tr w:rsidR="00465D69" w:rsidTr="00345119">
        <w:tc>
          <w:tcPr>
            <w:tcW w:w="9576" w:type="dxa"/>
          </w:tcPr>
          <w:p w:rsidR="008423E4" w:rsidRPr="00861995" w:rsidRDefault="00A26CB9" w:rsidP="00345119">
            <w:pPr>
              <w:jc w:val="right"/>
            </w:pPr>
            <w:r>
              <w:t>Transportation</w:t>
            </w:r>
          </w:p>
        </w:tc>
      </w:tr>
      <w:tr w:rsidR="00465D69" w:rsidTr="00345119">
        <w:tc>
          <w:tcPr>
            <w:tcW w:w="9576" w:type="dxa"/>
          </w:tcPr>
          <w:p w:rsidR="008423E4" w:rsidRDefault="00A26CB9" w:rsidP="00345119">
            <w:pPr>
              <w:jc w:val="right"/>
            </w:pPr>
            <w:r>
              <w:t>Committee Report (Substituted)</w:t>
            </w:r>
          </w:p>
        </w:tc>
      </w:tr>
    </w:tbl>
    <w:p w:rsidR="008423E4" w:rsidRDefault="00A26CB9" w:rsidP="008423E4">
      <w:pPr>
        <w:tabs>
          <w:tab w:val="right" w:pos="9360"/>
        </w:tabs>
      </w:pPr>
    </w:p>
    <w:p w:rsidR="008423E4" w:rsidRDefault="00A26CB9" w:rsidP="008423E4"/>
    <w:p w:rsidR="008423E4" w:rsidRDefault="00A26CB9" w:rsidP="008423E4"/>
    <w:tbl>
      <w:tblPr>
        <w:tblW w:w="0" w:type="auto"/>
        <w:tblCellMar>
          <w:left w:w="115" w:type="dxa"/>
          <w:right w:w="115" w:type="dxa"/>
        </w:tblCellMar>
        <w:tblLook w:val="01E0" w:firstRow="1" w:lastRow="1" w:firstColumn="1" w:lastColumn="1" w:noHBand="0" w:noVBand="0"/>
      </w:tblPr>
      <w:tblGrid>
        <w:gridCol w:w="9576"/>
      </w:tblGrid>
      <w:tr w:rsidR="00465D69" w:rsidTr="00345119">
        <w:tc>
          <w:tcPr>
            <w:tcW w:w="9576" w:type="dxa"/>
          </w:tcPr>
          <w:p w:rsidR="008423E4" w:rsidRPr="00A8133F" w:rsidRDefault="00A26CB9" w:rsidP="00492C0C">
            <w:pPr>
              <w:rPr>
                <w:b/>
              </w:rPr>
            </w:pPr>
            <w:r w:rsidRPr="009C1E9A">
              <w:rPr>
                <w:b/>
                <w:u w:val="single"/>
              </w:rPr>
              <w:t>BACKGROUND AND PURPOSE</w:t>
            </w:r>
            <w:r>
              <w:rPr>
                <w:b/>
              </w:rPr>
              <w:t xml:space="preserve"> </w:t>
            </w:r>
          </w:p>
          <w:p w:rsidR="008423E4" w:rsidRDefault="00A26CB9" w:rsidP="00492C0C"/>
          <w:p w:rsidR="008423E4" w:rsidRDefault="00A26CB9" w:rsidP="00492C0C">
            <w:pPr>
              <w:pStyle w:val="Header"/>
              <w:jc w:val="both"/>
            </w:pPr>
            <w:r>
              <w:t xml:space="preserve">Concerns have been raised regarding the increase </w:t>
            </w:r>
            <w:r>
              <w:t xml:space="preserve">of </w:t>
            </w:r>
            <w:r>
              <w:t xml:space="preserve">commercial motor vehicle traffic </w:t>
            </w:r>
            <w:r>
              <w:t xml:space="preserve">with respect to trucks </w:t>
            </w:r>
            <w:r>
              <w:t xml:space="preserve">transporting sand in </w:t>
            </w:r>
            <w:r>
              <w:t>areas of the state already saturated with</w:t>
            </w:r>
            <w:r>
              <w:t xml:space="preserve"> heavy</w:t>
            </w:r>
            <w:r>
              <w:t xml:space="preserve"> traffic from the oil and gas industry</w:t>
            </w:r>
            <w:r>
              <w:t>. It has bee</w:t>
            </w:r>
            <w:r>
              <w:t>n suggested that an increase to the maximum weight limit for trucks transporting sand</w:t>
            </w:r>
            <w:r>
              <w:t xml:space="preserve"> could </w:t>
            </w:r>
            <w:r>
              <w:t xml:space="preserve">reduce </w:t>
            </w:r>
            <w:r>
              <w:t>traffic</w:t>
            </w:r>
            <w:r>
              <w:t xml:space="preserve"> </w:t>
            </w:r>
            <w:r>
              <w:t xml:space="preserve">in the region while </w:t>
            </w:r>
            <w:r>
              <w:t>improv</w:t>
            </w:r>
            <w:r>
              <w:t>ing safety for other motor</w:t>
            </w:r>
            <w:r>
              <w:t>ists</w:t>
            </w:r>
            <w:r>
              <w:t>.</w:t>
            </w:r>
            <w:r>
              <w:t xml:space="preserve"> </w:t>
            </w:r>
            <w:r>
              <w:t>C.S.</w:t>
            </w:r>
            <w:r>
              <w:t xml:space="preserve">H.B. 2855 seeks to </w:t>
            </w:r>
            <w:r>
              <w:t xml:space="preserve">address this issue by providing for </w:t>
            </w:r>
            <w:r>
              <w:t xml:space="preserve">a study on the impacts to </w:t>
            </w:r>
            <w:r>
              <w:t>roadways</w:t>
            </w:r>
            <w:r>
              <w:t xml:space="preserve"> and bridges </w:t>
            </w:r>
            <w:r>
              <w:t xml:space="preserve">resulting </w:t>
            </w:r>
            <w:r>
              <w:t>from increasing the maximum weight limit for trucks</w:t>
            </w:r>
            <w:r>
              <w:t xml:space="preserve"> transporting sand</w:t>
            </w:r>
            <w:r>
              <w:t>.</w:t>
            </w:r>
          </w:p>
          <w:p w:rsidR="008423E4" w:rsidRPr="00E26B13" w:rsidRDefault="00A26CB9" w:rsidP="00492C0C">
            <w:pPr>
              <w:rPr>
                <w:b/>
              </w:rPr>
            </w:pPr>
          </w:p>
        </w:tc>
      </w:tr>
      <w:tr w:rsidR="00465D69" w:rsidTr="00345119">
        <w:tc>
          <w:tcPr>
            <w:tcW w:w="9576" w:type="dxa"/>
          </w:tcPr>
          <w:p w:rsidR="0017725B" w:rsidRDefault="00A26CB9" w:rsidP="00492C0C">
            <w:pPr>
              <w:rPr>
                <w:b/>
                <w:u w:val="single"/>
              </w:rPr>
            </w:pPr>
            <w:r>
              <w:rPr>
                <w:b/>
                <w:u w:val="single"/>
              </w:rPr>
              <w:t>CRIMINAL JUSTICE IMPACT</w:t>
            </w:r>
          </w:p>
          <w:p w:rsidR="0017725B" w:rsidRDefault="00A26CB9" w:rsidP="00492C0C">
            <w:pPr>
              <w:rPr>
                <w:b/>
                <w:u w:val="single"/>
              </w:rPr>
            </w:pPr>
          </w:p>
          <w:p w:rsidR="00363D6E" w:rsidRPr="00363D6E" w:rsidRDefault="00A26CB9" w:rsidP="00492C0C">
            <w:pPr>
              <w:jc w:val="both"/>
            </w:pPr>
            <w:r>
              <w:t xml:space="preserve">It is the committee's opinion that </w:t>
            </w:r>
            <w:r>
              <w:t>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A26CB9" w:rsidP="00492C0C">
            <w:pPr>
              <w:rPr>
                <w:b/>
                <w:u w:val="single"/>
              </w:rPr>
            </w:pPr>
          </w:p>
        </w:tc>
      </w:tr>
      <w:tr w:rsidR="00465D69" w:rsidTr="00345119">
        <w:tc>
          <w:tcPr>
            <w:tcW w:w="9576" w:type="dxa"/>
          </w:tcPr>
          <w:p w:rsidR="008423E4" w:rsidRPr="00A8133F" w:rsidRDefault="00A26CB9" w:rsidP="00492C0C">
            <w:pPr>
              <w:rPr>
                <w:b/>
              </w:rPr>
            </w:pPr>
            <w:r w:rsidRPr="009C1E9A">
              <w:rPr>
                <w:b/>
                <w:u w:val="single"/>
              </w:rPr>
              <w:t>RULEMAKING AUTHOR</w:t>
            </w:r>
            <w:r w:rsidRPr="009C1E9A">
              <w:rPr>
                <w:b/>
                <w:u w:val="single"/>
              </w:rPr>
              <w:t>ITY</w:t>
            </w:r>
            <w:r>
              <w:rPr>
                <w:b/>
              </w:rPr>
              <w:t xml:space="preserve"> </w:t>
            </w:r>
          </w:p>
          <w:p w:rsidR="008423E4" w:rsidRDefault="00A26CB9" w:rsidP="00492C0C"/>
          <w:p w:rsidR="00363D6E" w:rsidRDefault="00A26CB9" w:rsidP="00492C0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26CB9" w:rsidP="00492C0C">
            <w:pPr>
              <w:rPr>
                <w:b/>
              </w:rPr>
            </w:pPr>
          </w:p>
        </w:tc>
      </w:tr>
      <w:tr w:rsidR="00465D69" w:rsidTr="00345119">
        <w:tc>
          <w:tcPr>
            <w:tcW w:w="9576" w:type="dxa"/>
          </w:tcPr>
          <w:p w:rsidR="008423E4" w:rsidRPr="00A8133F" w:rsidRDefault="00A26CB9" w:rsidP="00492C0C">
            <w:pPr>
              <w:rPr>
                <w:b/>
              </w:rPr>
            </w:pPr>
            <w:r w:rsidRPr="009C1E9A">
              <w:rPr>
                <w:b/>
                <w:u w:val="single"/>
              </w:rPr>
              <w:t>ANALYSIS</w:t>
            </w:r>
            <w:r>
              <w:rPr>
                <w:b/>
              </w:rPr>
              <w:t xml:space="preserve"> </w:t>
            </w:r>
          </w:p>
          <w:p w:rsidR="008423E4" w:rsidRDefault="00A26CB9" w:rsidP="00492C0C"/>
          <w:p w:rsidR="008423E4" w:rsidRDefault="00A26CB9" w:rsidP="00492C0C">
            <w:pPr>
              <w:pStyle w:val="Header"/>
              <w:tabs>
                <w:tab w:val="clear" w:pos="4320"/>
                <w:tab w:val="clear" w:pos="8640"/>
              </w:tabs>
              <w:jc w:val="both"/>
            </w:pPr>
            <w:r>
              <w:t>C.S.</w:t>
            </w:r>
            <w:r>
              <w:t xml:space="preserve">H.B. 2855 requires the </w:t>
            </w:r>
            <w:r w:rsidRPr="00363D6E">
              <w:t xml:space="preserve">Texas A&amp;M Transportation Institute </w:t>
            </w:r>
            <w:r>
              <w:t>to</w:t>
            </w:r>
            <w:r w:rsidRPr="00363D6E">
              <w:t xml:space="preserve"> conduct a study on the estimated impacts to state and local roads and bridges, including impacts on traffic volume and safety on those roads and bridges, resulting from increasing the maximum allowable weight limits established for a truck-tractor and sem</w:t>
            </w:r>
            <w:r w:rsidRPr="00363D6E">
              <w:t xml:space="preserve">itrailer combination transporting sand at </w:t>
            </w:r>
            <w:r>
              <w:t>certain</w:t>
            </w:r>
            <w:r w:rsidRPr="00363D6E">
              <w:t xml:space="preserve"> </w:t>
            </w:r>
            <w:r w:rsidRPr="00363D6E">
              <w:t>gross weights and axle requirements.</w:t>
            </w:r>
            <w:r>
              <w:t xml:space="preserve"> The bill requires the </w:t>
            </w:r>
            <w:r w:rsidRPr="00363D6E">
              <w:t>Texas A&amp;M Transportation Institute</w:t>
            </w:r>
            <w:r>
              <w:t xml:space="preserve">, not later than October 1, 2020, to </w:t>
            </w:r>
            <w:r w:rsidRPr="00363D6E">
              <w:t>submit a report on the results of the study to each standing committee of th</w:t>
            </w:r>
            <w:r w:rsidRPr="00363D6E">
              <w:t>e legislature with jurisdiction over transportation matters.</w:t>
            </w:r>
            <w:r>
              <w:t xml:space="preserve"> The bill's provisions expire January 1, 2021.</w:t>
            </w:r>
          </w:p>
          <w:p w:rsidR="008423E4" w:rsidRPr="00835628" w:rsidRDefault="00A26CB9" w:rsidP="00492C0C">
            <w:pPr>
              <w:rPr>
                <w:b/>
              </w:rPr>
            </w:pPr>
          </w:p>
        </w:tc>
      </w:tr>
      <w:tr w:rsidR="00465D69" w:rsidTr="00345119">
        <w:tc>
          <w:tcPr>
            <w:tcW w:w="9576" w:type="dxa"/>
          </w:tcPr>
          <w:p w:rsidR="008423E4" w:rsidRPr="00A8133F" w:rsidRDefault="00A26CB9" w:rsidP="00492C0C">
            <w:pPr>
              <w:rPr>
                <w:b/>
              </w:rPr>
            </w:pPr>
            <w:r w:rsidRPr="009C1E9A">
              <w:rPr>
                <w:b/>
                <w:u w:val="single"/>
              </w:rPr>
              <w:t>EFFECTIVE DATE</w:t>
            </w:r>
            <w:r>
              <w:rPr>
                <w:b/>
              </w:rPr>
              <w:t xml:space="preserve"> </w:t>
            </w:r>
          </w:p>
          <w:p w:rsidR="008423E4" w:rsidRDefault="00A26CB9" w:rsidP="00492C0C"/>
          <w:p w:rsidR="008423E4" w:rsidRDefault="00A26CB9" w:rsidP="00492C0C">
            <w:pPr>
              <w:pStyle w:val="Header"/>
              <w:tabs>
                <w:tab w:val="clear" w:pos="4320"/>
                <w:tab w:val="clear" w:pos="8640"/>
              </w:tabs>
              <w:jc w:val="both"/>
            </w:pPr>
            <w:r>
              <w:t>On passage, or, if the bill does not receive the necessary vote, September 1, 2019.</w:t>
            </w:r>
          </w:p>
          <w:p w:rsidR="00ED6B8B" w:rsidRPr="00233FDB" w:rsidRDefault="00A26CB9" w:rsidP="00492C0C">
            <w:pPr>
              <w:pStyle w:val="Header"/>
              <w:tabs>
                <w:tab w:val="clear" w:pos="4320"/>
                <w:tab w:val="clear" w:pos="8640"/>
              </w:tabs>
              <w:jc w:val="both"/>
            </w:pPr>
          </w:p>
        </w:tc>
      </w:tr>
      <w:tr w:rsidR="00465D69" w:rsidTr="00345119">
        <w:tc>
          <w:tcPr>
            <w:tcW w:w="9576" w:type="dxa"/>
          </w:tcPr>
          <w:p w:rsidR="00785066" w:rsidRDefault="00A26CB9" w:rsidP="00492C0C">
            <w:pPr>
              <w:jc w:val="both"/>
              <w:rPr>
                <w:b/>
                <w:u w:val="single"/>
              </w:rPr>
            </w:pPr>
            <w:r>
              <w:rPr>
                <w:b/>
                <w:u w:val="single"/>
              </w:rPr>
              <w:t>COMPARISON OF ORIGINAL AND SUBSTITUTE</w:t>
            </w:r>
          </w:p>
          <w:p w:rsidR="00C36A20" w:rsidRDefault="00A26CB9" w:rsidP="00492C0C">
            <w:pPr>
              <w:jc w:val="both"/>
            </w:pPr>
          </w:p>
          <w:p w:rsidR="00C36A20" w:rsidRDefault="00A26CB9" w:rsidP="00492C0C">
            <w:pPr>
              <w:jc w:val="both"/>
            </w:pPr>
            <w:r>
              <w:t>C.S.H</w:t>
            </w:r>
            <w:r>
              <w:t>.B. 2855 differs from the original in minor or nonsubstantive ways by conforming to certain bill drafting conventions.</w:t>
            </w:r>
          </w:p>
          <w:p w:rsidR="00C36A20" w:rsidRPr="00C36A20" w:rsidRDefault="00A26CB9" w:rsidP="00492C0C">
            <w:pPr>
              <w:jc w:val="both"/>
            </w:pPr>
          </w:p>
        </w:tc>
      </w:tr>
      <w:tr w:rsidR="00465D69" w:rsidTr="00345119">
        <w:tc>
          <w:tcPr>
            <w:tcW w:w="9576" w:type="dxa"/>
          </w:tcPr>
          <w:p w:rsidR="00785066" w:rsidRPr="009C1E9A" w:rsidRDefault="00A26CB9" w:rsidP="00492C0C">
            <w:pPr>
              <w:rPr>
                <w:b/>
                <w:u w:val="single"/>
              </w:rPr>
            </w:pPr>
          </w:p>
        </w:tc>
      </w:tr>
      <w:tr w:rsidR="00465D69" w:rsidTr="00345119">
        <w:tc>
          <w:tcPr>
            <w:tcW w:w="9576" w:type="dxa"/>
          </w:tcPr>
          <w:p w:rsidR="00785066" w:rsidRPr="00785066" w:rsidRDefault="00A26CB9" w:rsidP="00492C0C">
            <w:pPr>
              <w:jc w:val="both"/>
            </w:pPr>
          </w:p>
        </w:tc>
      </w:tr>
    </w:tbl>
    <w:p w:rsidR="004108C3" w:rsidRPr="008423E4" w:rsidRDefault="00A26CB9"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26CB9">
      <w:r>
        <w:separator/>
      </w:r>
    </w:p>
  </w:endnote>
  <w:endnote w:type="continuationSeparator" w:id="0">
    <w:p w:rsidR="00000000" w:rsidRDefault="00A2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26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65D69" w:rsidTr="009C1E9A">
      <w:trPr>
        <w:cantSplit/>
      </w:trPr>
      <w:tc>
        <w:tcPr>
          <w:tcW w:w="0" w:type="pct"/>
        </w:tcPr>
        <w:p w:rsidR="00137D90" w:rsidRDefault="00A26CB9" w:rsidP="009C1E9A">
          <w:pPr>
            <w:pStyle w:val="Footer"/>
            <w:tabs>
              <w:tab w:val="clear" w:pos="8640"/>
              <w:tab w:val="right" w:pos="9360"/>
            </w:tabs>
          </w:pPr>
        </w:p>
      </w:tc>
      <w:tc>
        <w:tcPr>
          <w:tcW w:w="2395" w:type="pct"/>
        </w:tcPr>
        <w:p w:rsidR="00137D90" w:rsidRDefault="00A26CB9" w:rsidP="009C1E9A">
          <w:pPr>
            <w:pStyle w:val="Footer"/>
            <w:tabs>
              <w:tab w:val="clear" w:pos="8640"/>
              <w:tab w:val="right" w:pos="9360"/>
            </w:tabs>
          </w:pPr>
        </w:p>
        <w:p w:rsidR="001A4310" w:rsidRDefault="00A26CB9" w:rsidP="009C1E9A">
          <w:pPr>
            <w:pStyle w:val="Footer"/>
            <w:tabs>
              <w:tab w:val="clear" w:pos="8640"/>
              <w:tab w:val="right" w:pos="9360"/>
            </w:tabs>
          </w:pPr>
        </w:p>
        <w:p w:rsidR="00137D90" w:rsidRDefault="00A26CB9" w:rsidP="009C1E9A">
          <w:pPr>
            <w:pStyle w:val="Footer"/>
            <w:tabs>
              <w:tab w:val="clear" w:pos="8640"/>
              <w:tab w:val="right" w:pos="9360"/>
            </w:tabs>
          </w:pPr>
        </w:p>
      </w:tc>
      <w:tc>
        <w:tcPr>
          <w:tcW w:w="2453" w:type="pct"/>
        </w:tcPr>
        <w:p w:rsidR="00137D90" w:rsidRDefault="00A26CB9" w:rsidP="009C1E9A">
          <w:pPr>
            <w:pStyle w:val="Footer"/>
            <w:tabs>
              <w:tab w:val="clear" w:pos="8640"/>
              <w:tab w:val="right" w:pos="9360"/>
            </w:tabs>
            <w:jc w:val="right"/>
          </w:pPr>
        </w:p>
      </w:tc>
    </w:tr>
    <w:tr w:rsidR="00465D69" w:rsidTr="009C1E9A">
      <w:trPr>
        <w:cantSplit/>
      </w:trPr>
      <w:tc>
        <w:tcPr>
          <w:tcW w:w="0" w:type="pct"/>
        </w:tcPr>
        <w:p w:rsidR="00EC379B" w:rsidRDefault="00A26CB9" w:rsidP="009C1E9A">
          <w:pPr>
            <w:pStyle w:val="Footer"/>
            <w:tabs>
              <w:tab w:val="clear" w:pos="8640"/>
              <w:tab w:val="right" w:pos="9360"/>
            </w:tabs>
          </w:pPr>
        </w:p>
      </w:tc>
      <w:tc>
        <w:tcPr>
          <w:tcW w:w="2395" w:type="pct"/>
        </w:tcPr>
        <w:p w:rsidR="00EC379B" w:rsidRPr="009C1E9A" w:rsidRDefault="00A26CB9" w:rsidP="009C1E9A">
          <w:pPr>
            <w:pStyle w:val="Footer"/>
            <w:tabs>
              <w:tab w:val="clear" w:pos="8640"/>
              <w:tab w:val="right" w:pos="9360"/>
            </w:tabs>
            <w:rPr>
              <w:rFonts w:ascii="Shruti" w:hAnsi="Shruti"/>
              <w:sz w:val="22"/>
            </w:rPr>
          </w:pPr>
          <w:r>
            <w:rPr>
              <w:rFonts w:ascii="Shruti" w:hAnsi="Shruti"/>
              <w:sz w:val="22"/>
            </w:rPr>
            <w:t>86R 25342</w:t>
          </w:r>
        </w:p>
      </w:tc>
      <w:tc>
        <w:tcPr>
          <w:tcW w:w="2453" w:type="pct"/>
        </w:tcPr>
        <w:p w:rsidR="00EC379B" w:rsidRDefault="00A26CB9" w:rsidP="009C1E9A">
          <w:pPr>
            <w:pStyle w:val="Footer"/>
            <w:tabs>
              <w:tab w:val="clear" w:pos="8640"/>
              <w:tab w:val="right" w:pos="9360"/>
            </w:tabs>
            <w:jc w:val="right"/>
          </w:pPr>
          <w:r>
            <w:fldChar w:fldCharType="begin"/>
          </w:r>
          <w:r>
            <w:instrText xml:space="preserve"> DOCPROPERTY  OTID  \* MERGEFORMAT </w:instrText>
          </w:r>
          <w:r>
            <w:fldChar w:fldCharType="separate"/>
          </w:r>
          <w:r>
            <w:t>19.96.1155</w:t>
          </w:r>
          <w:r>
            <w:fldChar w:fldCharType="end"/>
          </w:r>
        </w:p>
      </w:tc>
    </w:tr>
    <w:tr w:rsidR="00465D69" w:rsidTr="009C1E9A">
      <w:trPr>
        <w:cantSplit/>
      </w:trPr>
      <w:tc>
        <w:tcPr>
          <w:tcW w:w="0" w:type="pct"/>
        </w:tcPr>
        <w:p w:rsidR="00EC379B" w:rsidRDefault="00A26CB9" w:rsidP="009C1E9A">
          <w:pPr>
            <w:pStyle w:val="Footer"/>
            <w:tabs>
              <w:tab w:val="clear" w:pos="4320"/>
              <w:tab w:val="clear" w:pos="8640"/>
              <w:tab w:val="left" w:pos="2865"/>
            </w:tabs>
          </w:pPr>
        </w:p>
      </w:tc>
      <w:tc>
        <w:tcPr>
          <w:tcW w:w="2395" w:type="pct"/>
        </w:tcPr>
        <w:p w:rsidR="00EC379B" w:rsidRPr="009C1E9A" w:rsidRDefault="00A26CB9" w:rsidP="009C1E9A">
          <w:pPr>
            <w:pStyle w:val="Footer"/>
            <w:tabs>
              <w:tab w:val="clear" w:pos="4320"/>
              <w:tab w:val="clear" w:pos="8640"/>
              <w:tab w:val="left" w:pos="2865"/>
            </w:tabs>
            <w:rPr>
              <w:rFonts w:ascii="Shruti" w:hAnsi="Shruti"/>
              <w:sz w:val="22"/>
            </w:rPr>
          </w:pPr>
          <w:r>
            <w:rPr>
              <w:rFonts w:ascii="Shruti" w:hAnsi="Shruti"/>
              <w:sz w:val="22"/>
            </w:rPr>
            <w:t>Substitute Document Number: 86R 21776</w:t>
          </w:r>
        </w:p>
      </w:tc>
      <w:tc>
        <w:tcPr>
          <w:tcW w:w="2453" w:type="pct"/>
        </w:tcPr>
        <w:p w:rsidR="00EC379B" w:rsidRDefault="00A26CB9" w:rsidP="006D504F">
          <w:pPr>
            <w:pStyle w:val="Footer"/>
            <w:rPr>
              <w:rStyle w:val="PageNumber"/>
            </w:rPr>
          </w:pPr>
        </w:p>
        <w:p w:rsidR="00EC379B" w:rsidRDefault="00A26CB9" w:rsidP="009C1E9A">
          <w:pPr>
            <w:pStyle w:val="Footer"/>
            <w:tabs>
              <w:tab w:val="clear" w:pos="8640"/>
              <w:tab w:val="right" w:pos="9360"/>
            </w:tabs>
            <w:jc w:val="right"/>
          </w:pPr>
        </w:p>
      </w:tc>
    </w:tr>
    <w:tr w:rsidR="00465D69" w:rsidTr="009C1E9A">
      <w:trPr>
        <w:cantSplit/>
        <w:trHeight w:val="323"/>
      </w:trPr>
      <w:tc>
        <w:tcPr>
          <w:tcW w:w="0" w:type="pct"/>
          <w:gridSpan w:val="3"/>
        </w:tcPr>
        <w:p w:rsidR="00EC379B" w:rsidRDefault="00A26CB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26CB9" w:rsidP="009C1E9A">
          <w:pPr>
            <w:pStyle w:val="Footer"/>
            <w:tabs>
              <w:tab w:val="clear" w:pos="8640"/>
              <w:tab w:val="right" w:pos="9360"/>
            </w:tabs>
            <w:jc w:val="center"/>
          </w:pPr>
        </w:p>
      </w:tc>
    </w:tr>
  </w:tbl>
  <w:p w:rsidR="00EC379B" w:rsidRPr="00FF6F72" w:rsidRDefault="00A26CB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26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26CB9">
      <w:r>
        <w:separator/>
      </w:r>
    </w:p>
  </w:footnote>
  <w:footnote w:type="continuationSeparator" w:id="0">
    <w:p w:rsidR="00000000" w:rsidRDefault="00A26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26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26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26C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69"/>
    <w:rsid w:val="00465D69"/>
    <w:rsid w:val="00A2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462732-2E39-487A-AF2F-80CEFDD1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63D6E"/>
    <w:rPr>
      <w:sz w:val="16"/>
      <w:szCs w:val="16"/>
    </w:rPr>
  </w:style>
  <w:style w:type="paragraph" w:styleId="CommentText">
    <w:name w:val="annotation text"/>
    <w:basedOn w:val="Normal"/>
    <w:link w:val="CommentTextChar"/>
    <w:semiHidden/>
    <w:unhideWhenUsed/>
    <w:rsid w:val="00363D6E"/>
    <w:rPr>
      <w:sz w:val="20"/>
      <w:szCs w:val="20"/>
    </w:rPr>
  </w:style>
  <w:style w:type="character" w:customStyle="1" w:styleId="CommentTextChar">
    <w:name w:val="Comment Text Char"/>
    <w:basedOn w:val="DefaultParagraphFont"/>
    <w:link w:val="CommentText"/>
    <w:semiHidden/>
    <w:rsid w:val="00363D6E"/>
  </w:style>
  <w:style w:type="paragraph" w:styleId="CommentSubject">
    <w:name w:val="annotation subject"/>
    <w:basedOn w:val="CommentText"/>
    <w:next w:val="CommentText"/>
    <w:link w:val="CommentSubjectChar"/>
    <w:semiHidden/>
    <w:unhideWhenUsed/>
    <w:rsid w:val="00363D6E"/>
    <w:rPr>
      <w:b/>
      <w:bCs/>
    </w:rPr>
  </w:style>
  <w:style w:type="character" w:customStyle="1" w:styleId="CommentSubjectChar">
    <w:name w:val="Comment Subject Char"/>
    <w:basedOn w:val="CommentTextChar"/>
    <w:link w:val="CommentSubject"/>
    <w:semiHidden/>
    <w:rsid w:val="00363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1802</Characters>
  <Application>Microsoft Office Word</Application>
  <DocSecurity>4</DocSecurity>
  <Lines>54</Lines>
  <Paragraphs>17</Paragraphs>
  <ScaleCrop>false</ScaleCrop>
  <HeadingPairs>
    <vt:vector size="2" baseType="variant">
      <vt:variant>
        <vt:lpstr>Title</vt:lpstr>
      </vt:variant>
      <vt:variant>
        <vt:i4>1</vt:i4>
      </vt:variant>
    </vt:vector>
  </HeadingPairs>
  <TitlesOfParts>
    <vt:vector size="1" baseType="lpstr">
      <vt:lpstr>BA - HB02855 (Committee Report (Unamended))</vt:lpstr>
    </vt:vector>
  </TitlesOfParts>
  <Company>State of Texas</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25342</dc:subject>
  <dc:creator>State of Texas</dc:creator>
  <dc:description>HB 2855 by Landgraf-(H)Transportation (Substitute Document Number: 86R 21776)</dc:description>
  <cp:lastModifiedBy>Stacey Nicchio</cp:lastModifiedBy>
  <cp:revision>2</cp:revision>
  <cp:lastPrinted>2003-11-26T17:21:00Z</cp:lastPrinted>
  <dcterms:created xsi:type="dcterms:W3CDTF">2019-04-11T23:13:00Z</dcterms:created>
  <dcterms:modified xsi:type="dcterms:W3CDTF">2019-04-11T23:13:00Z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19.96.1155</vt:lpwstr>
  </property>
</Properties>
</file>