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F1BB7" w:rsidTr="00345119">
        <w:tc>
          <w:tcPr>
            <w:tcW w:w="9576" w:type="dxa"/>
            <w:noWrap/>
          </w:tcPr>
          <w:p w:rsidR="008423E4" w:rsidRPr="0022177D" w:rsidRDefault="004A278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A278B" w:rsidP="008423E4">
      <w:pPr>
        <w:jc w:val="center"/>
      </w:pPr>
    </w:p>
    <w:p w:rsidR="008423E4" w:rsidRPr="00B31F0E" w:rsidRDefault="004A278B" w:rsidP="008423E4"/>
    <w:p w:rsidR="008423E4" w:rsidRPr="00742794" w:rsidRDefault="004A278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F1BB7" w:rsidTr="00345119">
        <w:tc>
          <w:tcPr>
            <w:tcW w:w="9576" w:type="dxa"/>
          </w:tcPr>
          <w:p w:rsidR="008423E4" w:rsidRPr="00861995" w:rsidRDefault="004A278B" w:rsidP="00345119">
            <w:pPr>
              <w:jc w:val="right"/>
            </w:pPr>
            <w:r>
              <w:t>C.S.H.B. 2866</w:t>
            </w:r>
          </w:p>
        </w:tc>
      </w:tr>
      <w:tr w:rsidR="00BF1BB7" w:rsidTr="00345119">
        <w:tc>
          <w:tcPr>
            <w:tcW w:w="9576" w:type="dxa"/>
          </w:tcPr>
          <w:p w:rsidR="008423E4" w:rsidRPr="00861995" w:rsidRDefault="004A278B" w:rsidP="00BF1FBB">
            <w:pPr>
              <w:jc w:val="right"/>
            </w:pPr>
            <w:r>
              <w:t xml:space="preserve">By: </w:t>
            </w:r>
            <w:r>
              <w:t>Deshotel</w:t>
            </w:r>
          </w:p>
        </w:tc>
      </w:tr>
      <w:tr w:rsidR="00BF1BB7" w:rsidTr="00345119">
        <w:tc>
          <w:tcPr>
            <w:tcW w:w="9576" w:type="dxa"/>
          </w:tcPr>
          <w:p w:rsidR="008423E4" w:rsidRPr="00861995" w:rsidRDefault="004A278B" w:rsidP="00345119">
            <w:pPr>
              <w:jc w:val="right"/>
            </w:pPr>
            <w:r>
              <w:t>Human Services</w:t>
            </w:r>
          </w:p>
        </w:tc>
      </w:tr>
      <w:tr w:rsidR="00BF1BB7" w:rsidTr="00345119">
        <w:tc>
          <w:tcPr>
            <w:tcW w:w="9576" w:type="dxa"/>
          </w:tcPr>
          <w:p w:rsidR="008423E4" w:rsidRDefault="004A278B" w:rsidP="00C2143F">
            <w:pPr>
              <w:jc w:val="right"/>
            </w:pPr>
            <w:r>
              <w:t>Committee Report (Substituted)</w:t>
            </w:r>
          </w:p>
        </w:tc>
      </w:tr>
    </w:tbl>
    <w:p w:rsidR="008423E4" w:rsidRDefault="004A278B" w:rsidP="008423E4">
      <w:pPr>
        <w:tabs>
          <w:tab w:val="right" w:pos="9360"/>
        </w:tabs>
      </w:pPr>
    </w:p>
    <w:p w:rsidR="008423E4" w:rsidRDefault="004A278B" w:rsidP="008423E4"/>
    <w:p w:rsidR="008423E4" w:rsidRDefault="004A278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F1BB7" w:rsidTr="00345119">
        <w:tc>
          <w:tcPr>
            <w:tcW w:w="9576" w:type="dxa"/>
          </w:tcPr>
          <w:p w:rsidR="008423E4" w:rsidRPr="00A8133F" w:rsidRDefault="004A278B" w:rsidP="00665AD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A278B" w:rsidP="00665AD5"/>
          <w:p w:rsidR="00EF29CB" w:rsidRDefault="004A278B" w:rsidP="00665AD5">
            <w:pPr>
              <w:pStyle w:val="Header"/>
              <w:jc w:val="both"/>
            </w:pPr>
            <w:r>
              <w:t xml:space="preserve">There </w:t>
            </w:r>
            <w:r>
              <w:t>are</w:t>
            </w:r>
            <w:r>
              <w:t xml:space="preserve"> growing concern</w:t>
            </w:r>
            <w:r>
              <w:t>s</w:t>
            </w:r>
            <w:r>
              <w:t xml:space="preserve"> </w:t>
            </w:r>
            <w:r>
              <w:t>about a</w:t>
            </w:r>
            <w:r>
              <w:t xml:space="preserve"> low response rate and </w:t>
            </w:r>
            <w:r>
              <w:t>lack of</w:t>
            </w:r>
            <w:r>
              <w:t xml:space="preserve"> action </w:t>
            </w:r>
            <w:r>
              <w:t xml:space="preserve">in regard to </w:t>
            </w:r>
            <w:r>
              <w:t>certain</w:t>
            </w:r>
            <w:r w:rsidRPr="002D1124">
              <w:t xml:space="preserve"> investigation</w:t>
            </w:r>
            <w:r>
              <w:t>s</w:t>
            </w:r>
            <w:r w:rsidRPr="002D1124">
              <w:t xml:space="preserve"> of alleged abuse or neglect that occur in a residential child-care facility, day-care center, group day-care home, before-school or after-school program, school-age program, or family home</w:t>
            </w:r>
            <w:r>
              <w:t>, especially with regard to cases of abuse or neglect that are subs</w:t>
            </w:r>
            <w:r>
              <w:t>tantiated by the health and human services office of the ombudsman</w:t>
            </w:r>
            <w:r w:rsidRPr="002D1124">
              <w:t>.</w:t>
            </w:r>
            <w:r>
              <w:t xml:space="preserve"> </w:t>
            </w:r>
            <w:r w:rsidRPr="00B84135"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2866 seeks to address the</w:t>
            </w:r>
            <w:r>
              <w:t>se</w:t>
            </w:r>
            <w:r>
              <w:t xml:space="preserve"> concerns by</w:t>
            </w:r>
            <w:r>
              <w:t>, among other things,</w:t>
            </w:r>
            <w:r>
              <w:t xml:space="preserve"> </w:t>
            </w:r>
            <w:r>
              <w:t xml:space="preserve">increasing the frequency of </w:t>
            </w:r>
            <w:r>
              <w:t xml:space="preserve">reporting </w:t>
            </w:r>
            <w:r>
              <w:t xml:space="preserve">of </w:t>
            </w:r>
            <w:r w:rsidRPr="00EF29CB">
              <w:t>certain investigation and evaluation information</w:t>
            </w:r>
            <w:r>
              <w:t xml:space="preserve"> regarding such facilities.</w:t>
            </w:r>
          </w:p>
          <w:p w:rsidR="008423E4" w:rsidRPr="00E26B13" w:rsidRDefault="004A278B" w:rsidP="00665AD5">
            <w:pPr>
              <w:rPr>
                <w:b/>
              </w:rPr>
            </w:pPr>
          </w:p>
        </w:tc>
      </w:tr>
      <w:tr w:rsidR="00BF1BB7" w:rsidTr="00345119">
        <w:tc>
          <w:tcPr>
            <w:tcW w:w="9576" w:type="dxa"/>
          </w:tcPr>
          <w:p w:rsidR="0017725B" w:rsidRDefault="004A278B" w:rsidP="00665A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A278B" w:rsidP="00665AD5">
            <w:pPr>
              <w:rPr>
                <w:b/>
                <w:u w:val="single"/>
              </w:rPr>
            </w:pPr>
          </w:p>
          <w:p w:rsidR="00E53A2A" w:rsidRPr="00E53A2A" w:rsidRDefault="004A278B" w:rsidP="00665AD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:rsidR="0017725B" w:rsidRPr="0017725B" w:rsidRDefault="004A278B" w:rsidP="00665AD5">
            <w:pPr>
              <w:rPr>
                <w:b/>
                <w:u w:val="single"/>
              </w:rPr>
            </w:pPr>
          </w:p>
        </w:tc>
      </w:tr>
      <w:tr w:rsidR="00BF1BB7" w:rsidTr="00345119">
        <w:tc>
          <w:tcPr>
            <w:tcW w:w="9576" w:type="dxa"/>
          </w:tcPr>
          <w:p w:rsidR="008423E4" w:rsidRPr="00A8133F" w:rsidRDefault="004A278B" w:rsidP="00665AD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A278B" w:rsidP="00665AD5"/>
          <w:p w:rsidR="00E53A2A" w:rsidRDefault="004A278B" w:rsidP="00665A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4A278B" w:rsidP="00665AD5">
            <w:pPr>
              <w:rPr>
                <w:b/>
              </w:rPr>
            </w:pPr>
          </w:p>
        </w:tc>
      </w:tr>
      <w:tr w:rsidR="00BF1BB7" w:rsidTr="00345119">
        <w:tc>
          <w:tcPr>
            <w:tcW w:w="9576" w:type="dxa"/>
          </w:tcPr>
          <w:p w:rsidR="008423E4" w:rsidRPr="00A8133F" w:rsidRDefault="004A278B" w:rsidP="00665AD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A278B" w:rsidP="00665AD5"/>
          <w:p w:rsidR="00EC4D38" w:rsidRDefault="004A278B" w:rsidP="00665AD5">
            <w:pPr>
              <w:pStyle w:val="Header"/>
              <w:jc w:val="both"/>
            </w:pPr>
            <w:r w:rsidRPr="00B84135">
              <w:t>C.S.</w:t>
            </w:r>
            <w:r>
              <w:t xml:space="preserve">H.B. </w:t>
            </w:r>
            <w:r>
              <w:t xml:space="preserve">2866 amends the Family Code to </w:t>
            </w:r>
            <w:r>
              <w:t>make</w:t>
            </w:r>
            <w:r>
              <w:t xml:space="preserve"> </w:t>
            </w:r>
            <w:r>
              <w:t xml:space="preserve">the requirement that </w:t>
            </w:r>
            <w:r>
              <w:t>the Department of Family and Protective Services</w:t>
            </w:r>
            <w:r>
              <w:t xml:space="preserve"> (DFPS)</w:t>
            </w:r>
            <w:r>
              <w:t xml:space="preserve"> release certain information </w:t>
            </w:r>
            <w:r>
              <w:t>regarding</w:t>
            </w:r>
            <w:r>
              <w:t xml:space="preserve"> a child </w:t>
            </w:r>
            <w:r>
              <w:t>fatality</w:t>
            </w:r>
            <w:r>
              <w:t xml:space="preserve"> or near fatality</w:t>
            </w:r>
            <w:r>
              <w:t xml:space="preserve"> with respect to which DFPS is conducting an investigation of alleged </w:t>
            </w:r>
            <w:r>
              <w:t>ab</w:t>
            </w:r>
            <w:r>
              <w:t xml:space="preserve">use or neglect </w:t>
            </w:r>
            <w:r>
              <w:t>applicable</w:t>
            </w:r>
            <w:r>
              <w:t xml:space="preserve"> </w:t>
            </w:r>
            <w:r w:rsidRPr="004F4E44">
              <w:t>to an investigation of alleged abuse or neglect that occurred in a residential child-care facility, day</w:t>
            </w:r>
            <w:r>
              <w:noBreakHyphen/>
            </w:r>
            <w:r w:rsidRPr="004F4E44">
              <w:t>care center, group day-care home, before-school or after-school program, school-age program, or family home</w:t>
            </w:r>
            <w:r>
              <w:t>,</w:t>
            </w:r>
            <w:r w:rsidRPr="004F4E44">
              <w:t xml:space="preserve"> regardless of whe</w:t>
            </w:r>
            <w:r w:rsidRPr="004F4E44">
              <w:t>ther the facility or program is licensed, registered, or listed</w:t>
            </w:r>
            <w:r>
              <w:t xml:space="preserve"> under applicable Human Resources Code provisions</w:t>
            </w:r>
            <w:r>
              <w:t>.</w:t>
            </w:r>
            <w:r w:rsidRPr="004F4E44">
              <w:t xml:space="preserve"> </w:t>
            </w:r>
            <w:r>
              <w:t>The bill inc</w:t>
            </w:r>
            <w:r>
              <w:t>ludes among th</w:t>
            </w:r>
            <w:r>
              <w:t>e information</w:t>
            </w:r>
            <w:r>
              <w:t xml:space="preserve"> DFPS is required to release</w:t>
            </w:r>
            <w:r>
              <w:t xml:space="preserve"> after </w:t>
            </w:r>
            <w:r>
              <w:t xml:space="preserve">determining </w:t>
            </w:r>
            <w:r>
              <w:t>following</w:t>
            </w:r>
            <w:r>
              <w:t xml:space="preserve"> an investigation</w:t>
            </w:r>
            <w:r>
              <w:t xml:space="preserve"> that the child's death</w:t>
            </w:r>
            <w:r>
              <w:t xml:space="preserve"> or near fatality</w:t>
            </w:r>
            <w:r>
              <w:t xml:space="preserve"> </w:t>
            </w:r>
            <w:r>
              <w:t>was caused by abuse or neglect</w:t>
            </w:r>
            <w:r>
              <w:t xml:space="preserve"> that</w:t>
            </w:r>
            <w:r w:rsidRPr="002419B7">
              <w:t xml:space="preserve"> occurred in </w:t>
            </w:r>
            <w:r>
              <w:t xml:space="preserve">such </w:t>
            </w:r>
            <w:r w:rsidRPr="002419B7">
              <w:t xml:space="preserve">a </w:t>
            </w:r>
            <w:r>
              <w:t>facility or program</w:t>
            </w:r>
            <w:r>
              <w:t xml:space="preserve"> </w:t>
            </w:r>
            <w:r w:rsidRPr="002419B7">
              <w:t>the following information</w:t>
            </w:r>
            <w:r>
              <w:t xml:space="preserve">: </w:t>
            </w:r>
          </w:p>
          <w:p w:rsidR="00EC4D38" w:rsidRDefault="004A278B" w:rsidP="00665AD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whether the </w:t>
            </w:r>
            <w:r>
              <w:t>facility</w:t>
            </w:r>
            <w:r>
              <w:t xml:space="preserve"> or program was licensed, registered, or listed at the time of the child's death or near fatality</w:t>
            </w:r>
            <w:r>
              <w:t>;</w:t>
            </w:r>
          </w:p>
          <w:p w:rsidR="00EC4D38" w:rsidRDefault="004A278B" w:rsidP="00665AD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 summary of any</w:t>
            </w:r>
            <w:r>
              <w:t xml:space="preserve"> previous reports of abuse or neglect investigated by DFPS relating to the </w:t>
            </w:r>
            <w:r>
              <w:t>f</w:t>
            </w:r>
            <w:r>
              <w:t xml:space="preserve">acility </w:t>
            </w:r>
            <w:r w:rsidRPr="00EC4D38">
              <w:t>or program</w:t>
            </w:r>
            <w:r>
              <w:t xml:space="preserve">, </w:t>
            </w:r>
            <w:r w:rsidRPr="000751D5">
              <w:t xml:space="preserve">including the disposition of any </w:t>
            </w:r>
            <w:r w:rsidRPr="000751D5">
              <w:t xml:space="preserve">resulting </w:t>
            </w:r>
            <w:r w:rsidRPr="000751D5">
              <w:t>investigation</w:t>
            </w:r>
            <w:r>
              <w:t>;</w:t>
            </w:r>
          </w:p>
          <w:p w:rsidR="00EC4D38" w:rsidRDefault="004A278B" w:rsidP="00665AD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any reported licensing, registration, or listing violations</w:t>
            </w:r>
            <w:r>
              <w:t xml:space="preserve">, </w:t>
            </w:r>
            <w:r w:rsidRPr="000751D5">
              <w:t>including notice of any action taken by t</w:t>
            </w:r>
            <w:r w:rsidRPr="000751D5">
              <w:t>he Health and Human Services Commission</w:t>
            </w:r>
            <w:r>
              <w:t xml:space="preserve"> (HHSC)</w:t>
            </w:r>
            <w:r w:rsidRPr="000751D5">
              <w:t xml:space="preserve"> regarding a violation</w:t>
            </w:r>
            <w:r>
              <w:t>; and</w:t>
            </w:r>
          </w:p>
          <w:p w:rsidR="00B84135" w:rsidRDefault="004A278B" w:rsidP="00665AD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records of any training completed by the </w:t>
            </w:r>
            <w:r>
              <w:t xml:space="preserve">facility </w:t>
            </w:r>
            <w:r>
              <w:t>or program.</w:t>
            </w:r>
          </w:p>
          <w:p w:rsidR="00B84135" w:rsidRDefault="004A278B" w:rsidP="00665AD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bill requires DFPS to release </w:t>
            </w:r>
            <w:r>
              <w:t xml:space="preserve">in the most cost-efficient manner possible </w:t>
            </w:r>
            <w:r>
              <w:t>information</w:t>
            </w:r>
            <w:r>
              <w:t xml:space="preserve"> </w:t>
            </w:r>
            <w:r w:rsidRPr="00216DA2">
              <w:t xml:space="preserve">regarding a child fatality </w:t>
            </w:r>
            <w:r>
              <w:t xml:space="preserve">or near fatality </w:t>
            </w:r>
            <w:r w:rsidRPr="00216DA2">
              <w:t>with respect to which DFPS is conducting an investigation of alleged abuse or neglect</w:t>
            </w:r>
            <w:r>
              <w:t>.</w:t>
            </w:r>
          </w:p>
          <w:p w:rsidR="000751D5" w:rsidRDefault="004A278B" w:rsidP="00665A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F7619D" w:rsidRDefault="004A278B" w:rsidP="00665AD5">
            <w:pPr>
              <w:pStyle w:val="Header"/>
              <w:jc w:val="both"/>
            </w:pPr>
            <w:r w:rsidRPr="00B84135">
              <w:t>C.S.</w:t>
            </w:r>
            <w:r>
              <w:t xml:space="preserve">H.B. 2866 amends the Human Resources Code to </w:t>
            </w:r>
            <w:r>
              <w:t xml:space="preserve">transfer the </w:t>
            </w:r>
            <w:r>
              <w:t>dut</w:t>
            </w:r>
            <w:r>
              <w:t>ies</w:t>
            </w:r>
            <w:r>
              <w:t xml:space="preserve"> regarding </w:t>
            </w:r>
            <w:r w:rsidRPr="00F7619D">
              <w:t>a database containing relevant inspection information on licensed day-ca</w:t>
            </w:r>
            <w:r w:rsidRPr="00F7619D">
              <w:t>re centers, licensed group day-care homes, a</w:t>
            </w:r>
            <w:r>
              <w:t xml:space="preserve">nd registered family homes </w:t>
            </w:r>
            <w:r>
              <w:t>from DFPS to HHSC</w:t>
            </w:r>
            <w:r>
              <w:t xml:space="preserve"> and</w:t>
            </w:r>
            <w:r>
              <w:t xml:space="preserve"> require</w:t>
            </w:r>
            <w:r>
              <w:t>s</w:t>
            </w:r>
            <w:r>
              <w:t xml:space="preserve"> the inspection data </w:t>
            </w:r>
            <w:r w:rsidRPr="00FD44A2">
              <w:t xml:space="preserve"> </w:t>
            </w:r>
            <w:r>
              <w:t>HHSC</w:t>
            </w:r>
            <w:r w:rsidRPr="00FD44A2">
              <w:t xml:space="preserve"> </w:t>
            </w:r>
            <w:r>
              <w:t>provides to the public to include:</w:t>
            </w:r>
          </w:p>
          <w:p w:rsidR="00F7619D" w:rsidRDefault="004A278B" w:rsidP="00665AD5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information on any violation by the center or home </w:t>
            </w:r>
            <w:r>
              <w:t>relating</w:t>
            </w:r>
            <w:r>
              <w:t xml:space="preserve"> to the sexual abuse of a child attending the center or home and details of the violation;</w:t>
            </w:r>
          </w:p>
          <w:p w:rsidR="00F7619D" w:rsidRDefault="004A278B" w:rsidP="00665AD5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information on any incident at the center or home that HHSC determines violates the minimum standards for the center or home or results in abuse or neglect of a chil</w:t>
            </w:r>
            <w:r>
              <w:t>d attending the center or home; and</w:t>
            </w:r>
          </w:p>
          <w:p w:rsidR="000751D5" w:rsidRDefault="004A278B" w:rsidP="00665A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a suf</w:t>
            </w:r>
            <w:r>
              <w:t xml:space="preserve">ficient amount of detail in </w:t>
            </w:r>
            <w:r>
              <w:t xml:space="preserve">the aforementioned </w:t>
            </w:r>
            <w:r>
              <w:t>information for the public to understand the circumstances surrounding a violation, including any action taken by the center or home to remedy the violation.</w:t>
            </w:r>
          </w:p>
          <w:p w:rsidR="000727DC" w:rsidRDefault="004A278B" w:rsidP="00665AD5">
            <w:pPr>
              <w:pStyle w:val="Header"/>
              <w:jc w:val="both"/>
            </w:pPr>
            <w:r>
              <w:t>The bill a</w:t>
            </w:r>
            <w:r>
              <w:t>uthorizes HHSC to collaborate with parents and other interested parties in determining the type of information provided to the public</w:t>
            </w:r>
            <w:r>
              <w:t xml:space="preserve"> and</w:t>
            </w:r>
            <w:r>
              <w:t xml:space="preserve"> requires HHSC to protect a child's identity in all information provided to the public</w:t>
            </w:r>
            <w:r>
              <w:t xml:space="preserve">. The bill requires HHSC </w:t>
            </w:r>
            <w:r>
              <w:t>to retai</w:t>
            </w:r>
            <w:r>
              <w:t>n in the inspection data the required information until at least the fifth anniversary of the date the information is added to the data.</w:t>
            </w:r>
            <w:r>
              <w:t xml:space="preserve"> The bill requires HHSC</w:t>
            </w:r>
            <w:r>
              <w:t xml:space="preserve"> to provide written notice to</w:t>
            </w:r>
            <w:r>
              <w:t xml:space="preserve"> </w:t>
            </w:r>
            <w:r>
              <w:t xml:space="preserve">such </w:t>
            </w:r>
            <w:r>
              <w:t>a facility or home</w:t>
            </w:r>
            <w:r>
              <w:t xml:space="preserve"> it determines</w:t>
            </w:r>
            <w:r>
              <w:t xml:space="preserve"> has </w:t>
            </w:r>
            <w:r>
              <w:t xml:space="preserve">committed a </w:t>
            </w:r>
            <w:r>
              <w:t>violat</w:t>
            </w:r>
            <w:r>
              <w:t>ion tha</w:t>
            </w:r>
            <w:r>
              <w:t xml:space="preserve">t </w:t>
            </w:r>
            <w:r>
              <w:t>results in the sexual abuse of a child attending the facility or home and requires the facility or home, on receipt of the notice, to provide written notice of</w:t>
            </w:r>
            <w:r>
              <w:t xml:space="preserve"> the </w:t>
            </w:r>
            <w:r>
              <w:t xml:space="preserve">described </w:t>
            </w:r>
            <w:r>
              <w:t xml:space="preserve">violation </w:t>
            </w:r>
            <w:r>
              <w:t xml:space="preserve">to each parent or legal guardian of a child attending the facility or </w:t>
            </w:r>
            <w:r>
              <w:t>home.</w:t>
            </w:r>
          </w:p>
          <w:p w:rsidR="00676A1A" w:rsidRDefault="004A278B" w:rsidP="00665AD5">
            <w:pPr>
              <w:pStyle w:val="Header"/>
              <w:jc w:val="both"/>
            </w:pPr>
          </w:p>
          <w:p w:rsidR="00676A1A" w:rsidRDefault="004A278B" w:rsidP="00665AD5">
            <w:pPr>
              <w:pStyle w:val="Header"/>
              <w:jc w:val="both"/>
            </w:pPr>
            <w:r w:rsidRPr="00B84135">
              <w:t>C.S.</w:t>
            </w:r>
            <w:r>
              <w:t xml:space="preserve">H.B. 2866 amends the Labor Code to </w:t>
            </w:r>
            <w:r w:rsidRPr="002A7646">
              <w:t xml:space="preserve">revise </w:t>
            </w:r>
            <w:r>
              <w:t>the</w:t>
            </w:r>
            <w:r>
              <w:t xml:space="preserve"> child-care cost information that</w:t>
            </w:r>
            <w:r w:rsidRPr="002A7646">
              <w:t xml:space="preserve"> the Texas Workforce Commission</w:t>
            </w:r>
            <w:r>
              <w:t>'</w:t>
            </w:r>
            <w:r w:rsidRPr="002A7646">
              <w:t>s (TWC)</w:t>
            </w:r>
            <w:r>
              <w:t xml:space="preserve"> </w:t>
            </w:r>
            <w:r>
              <w:t xml:space="preserve">annual evaluation of </w:t>
            </w:r>
            <w:r>
              <w:t>allocati</w:t>
            </w:r>
            <w:r>
              <w:t>on formulas for</w:t>
            </w:r>
            <w:r>
              <w:t xml:space="preserve"> </w:t>
            </w:r>
            <w:r w:rsidRPr="00676A1A">
              <w:t>federal child care development funds to local workforce development boards</w:t>
            </w:r>
            <w:r>
              <w:t xml:space="preserve"> must as</w:t>
            </w:r>
            <w:r>
              <w:t xml:space="preserve">sess and to expand the types of </w:t>
            </w:r>
            <w:r>
              <w:t>information</w:t>
            </w:r>
            <w:r>
              <w:t xml:space="preserve"> the evaluation must asse</w:t>
            </w:r>
            <w:r>
              <w:t>s</w:t>
            </w:r>
            <w:r>
              <w:t xml:space="preserve">s. </w:t>
            </w:r>
            <w:r w:rsidRPr="002A7646">
              <w:t xml:space="preserve">The bill requires the TWC to annually update certain </w:t>
            </w:r>
            <w:r>
              <w:t>of that information for purposes of the evaluation</w:t>
            </w:r>
            <w:r w:rsidRPr="002A7646">
              <w:t>.</w:t>
            </w:r>
            <w:r>
              <w:t xml:space="preserve">  </w:t>
            </w:r>
          </w:p>
          <w:p w:rsidR="00576B98" w:rsidRPr="00835628" w:rsidRDefault="004A278B" w:rsidP="00665AD5">
            <w:pPr>
              <w:pStyle w:val="Header"/>
              <w:jc w:val="both"/>
              <w:rPr>
                <w:b/>
              </w:rPr>
            </w:pPr>
          </w:p>
        </w:tc>
      </w:tr>
      <w:tr w:rsidR="00BF1BB7" w:rsidTr="00345119">
        <w:tc>
          <w:tcPr>
            <w:tcW w:w="9576" w:type="dxa"/>
          </w:tcPr>
          <w:p w:rsidR="008423E4" w:rsidRPr="00A8133F" w:rsidRDefault="004A278B" w:rsidP="00665AD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A278B" w:rsidP="00665AD5"/>
          <w:p w:rsidR="008423E4" w:rsidRPr="003624F2" w:rsidRDefault="004A278B" w:rsidP="00665A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4A278B" w:rsidP="00665AD5">
            <w:pPr>
              <w:rPr>
                <w:b/>
              </w:rPr>
            </w:pPr>
          </w:p>
        </w:tc>
      </w:tr>
      <w:tr w:rsidR="00BF1BB7" w:rsidTr="00345119">
        <w:tc>
          <w:tcPr>
            <w:tcW w:w="9576" w:type="dxa"/>
          </w:tcPr>
          <w:p w:rsidR="00BF1FBB" w:rsidRDefault="004A278B" w:rsidP="00665AD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B84135" w:rsidRDefault="004A278B" w:rsidP="00665AD5">
            <w:pPr>
              <w:jc w:val="both"/>
            </w:pPr>
          </w:p>
          <w:p w:rsidR="00B84135" w:rsidRDefault="004A278B" w:rsidP="00665AD5">
            <w:pPr>
              <w:jc w:val="both"/>
            </w:pPr>
            <w:r>
              <w:t>While C.S.H.B. 2866 may differ from the original in minor or nonsubstantive ways, the following summarizes the substantial differences between the introduced and committee substitute versions of the bill.</w:t>
            </w:r>
          </w:p>
          <w:p w:rsidR="005A6416" w:rsidRDefault="004A278B" w:rsidP="00665AD5">
            <w:pPr>
              <w:jc w:val="both"/>
            </w:pPr>
          </w:p>
          <w:p w:rsidR="00B84135" w:rsidRDefault="004A278B" w:rsidP="00665AD5">
            <w:pPr>
              <w:jc w:val="both"/>
            </w:pPr>
            <w:r>
              <w:t>The substitute includes a requirement for DFPS t</w:t>
            </w:r>
            <w:r>
              <w:t>o release</w:t>
            </w:r>
            <w:r>
              <w:t xml:space="preserve"> </w:t>
            </w:r>
            <w:r>
              <w:t xml:space="preserve">in the most cost-efficient manner possible </w:t>
            </w:r>
            <w:r w:rsidRPr="004423CF">
              <w:t>information regarding a child fatality with respect to which DFPS is conducting an investigation of alleged abuse or neglect</w:t>
            </w:r>
            <w:r>
              <w:t>.</w:t>
            </w:r>
            <w:r w:rsidRPr="00B84135">
              <w:t xml:space="preserve"> </w:t>
            </w:r>
          </w:p>
          <w:p w:rsidR="00B84135" w:rsidRPr="00B84135" w:rsidRDefault="004A278B" w:rsidP="00665AD5">
            <w:pPr>
              <w:jc w:val="both"/>
            </w:pPr>
          </w:p>
        </w:tc>
      </w:tr>
      <w:tr w:rsidR="00BF1BB7" w:rsidTr="00345119">
        <w:tc>
          <w:tcPr>
            <w:tcW w:w="9576" w:type="dxa"/>
          </w:tcPr>
          <w:p w:rsidR="00BF1FBB" w:rsidRPr="009C1E9A" w:rsidRDefault="004A278B" w:rsidP="00665AD5">
            <w:pPr>
              <w:rPr>
                <w:b/>
                <w:u w:val="single"/>
              </w:rPr>
            </w:pPr>
          </w:p>
        </w:tc>
      </w:tr>
      <w:tr w:rsidR="00BF1BB7" w:rsidTr="00345119">
        <w:tc>
          <w:tcPr>
            <w:tcW w:w="9576" w:type="dxa"/>
          </w:tcPr>
          <w:p w:rsidR="00BF1FBB" w:rsidRPr="00BF1FBB" w:rsidRDefault="004A278B" w:rsidP="00665AD5">
            <w:pPr>
              <w:jc w:val="both"/>
            </w:pPr>
          </w:p>
        </w:tc>
      </w:tr>
    </w:tbl>
    <w:p w:rsidR="008423E4" w:rsidRPr="00BE0E75" w:rsidRDefault="004A278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A278B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278B">
      <w:r>
        <w:separator/>
      </w:r>
    </w:p>
  </w:endnote>
  <w:endnote w:type="continuationSeparator" w:id="0">
    <w:p w:rsidR="00000000" w:rsidRDefault="004A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6" w:rsidRDefault="004A2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F1BB7" w:rsidTr="009C1E9A">
      <w:trPr>
        <w:cantSplit/>
      </w:trPr>
      <w:tc>
        <w:tcPr>
          <w:tcW w:w="0" w:type="pct"/>
        </w:tcPr>
        <w:p w:rsidR="00137D90" w:rsidRDefault="004A278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A278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A278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A278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A27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1BB7" w:rsidTr="009C1E9A">
      <w:trPr>
        <w:cantSplit/>
      </w:trPr>
      <w:tc>
        <w:tcPr>
          <w:tcW w:w="0" w:type="pct"/>
        </w:tcPr>
        <w:p w:rsidR="00EC379B" w:rsidRDefault="004A278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A278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30173</w:t>
          </w:r>
        </w:p>
      </w:tc>
      <w:tc>
        <w:tcPr>
          <w:tcW w:w="2453" w:type="pct"/>
        </w:tcPr>
        <w:p w:rsidR="00EC379B" w:rsidRDefault="004A27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19.117.308</w:t>
          </w:r>
          <w:r>
            <w:fldChar w:fldCharType="end"/>
          </w:r>
        </w:p>
      </w:tc>
    </w:tr>
    <w:tr w:rsidR="00BF1BB7" w:rsidTr="009C1E9A">
      <w:trPr>
        <w:cantSplit/>
      </w:trPr>
      <w:tc>
        <w:tcPr>
          <w:tcW w:w="0" w:type="pct"/>
        </w:tcPr>
        <w:p w:rsidR="00EC379B" w:rsidRDefault="004A278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A278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23795</w:t>
          </w:r>
        </w:p>
      </w:tc>
      <w:tc>
        <w:tcPr>
          <w:tcW w:w="2453" w:type="pct"/>
        </w:tcPr>
        <w:p w:rsidR="00EC379B" w:rsidRDefault="004A278B" w:rsidP="006D504F">
          <w:pPr>
            <w:pStyle w:val="Footer"/>
            <w:rPr>
              <w:rStyle w:val="PageNumber"/>
            </w:rPr>
          </w:pPr>
        </w:p>
        <w:p w:rsidR="00EC379B" w:rsidRDefault="004A27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1BB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A278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A278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A278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6" w:rsidRDefault="004A2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278B">
      <w:r>
        <w:separator/>
      </w:r>
    </w:p>
  </w:footnote>
  <w:footnote w:type="continuationSeparator" w:id="0">
    <w:p w:rsidR="00000000" w:rsidRDefault="004A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6" w:rsidRDefault="004A2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6" w:rsidRDefault="004A2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96" w:rsidRDefault="004A2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1E36"/>
    <w:multiLevelType w:val="hybridMultilevel"/>
    <w:tmpl w:val="880000F4"/>
    <w:lvl w:ilvl="0" w:tplc="BC127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63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2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E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80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64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C5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AA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07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25409"/>
    <w:multiLevelType w:val="hybridMultilevel"/>
    <w:tmpl w:val="691A84DA"/>
    <w:lvl w:ilvl="0" w:tplc="B326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85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0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CD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CA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CF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E3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CF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AA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762ED"/>
    <w:multiLevelType w:val="hybridMultilevel"/>
    <w:tmpl w:val="D3B8E6F6"/>
    <w:lvl w:ilvl="0" w:tplc="A5809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85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82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49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AB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45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0E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23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87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42380"/>
    <w:multiLevelType w:val="hybridMultilevel"/>
    <w:tmpl w:val="38D48744"/>
    <w:lvl w:ilvl="0" w:tplc="B1AC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C4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3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49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8A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41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06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A9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03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D0A49"/>
    <w:multiLevelType w:val="hybridMultilevel"/>
    <w:tmpl w:val="6ACA513E"/>
    <w:lvl w:ilvl="0" w:tplc="3850C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CA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C9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4F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EF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2D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C6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E2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68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B7"/>
    <w:rsid w:val="004A278B"/>
    <w:rsid w:val="00B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A16052-16D0-4503-B3EB-0E672324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751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51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1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4615</Characters>
  <Application>Microsoft Office Word</Application>
  <DocSecurity>4</DocSecurity>
  <Lines>99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HB02866 (Committee Report (Substituted))</vt:lpstr>
    </vt:vector>
  </TitlesOfParts>
  <Company>State of Texas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30173</dc:subject>
  <dc:creator>State of Texas</dc:creator>
  <dc:description>HB 2866 by Deshotel-(H)Human Services (Substitute Document Number: 86R 23795)</dc:description>
  <cp:lastModifiedBy>Stacey Nicchio</cp:lastModifiedBy>
  <cp:revision>2</cp:revision>
  <cp:lastPrinted>2003-11-26T17:21:00Z</cp:lastPrinted>
  <dcterms:created xsi:type="dcterms:W3CDTF">2019-04-30T15:48:00Z</dcterms:created>
  <dcterms:modified xsi:type="dcterms:W3CDTF">2019-04-30T15:48:00Z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19.117.308</vt:lpwstr>
  </property>
</Properties>
</file>