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05A36" w:rsidTr="00345119">
        <w:tc>
          <w:tcPr>
            <w:tcW w:w="9576" w:type="dxa"/>
            <w:noWrap/>
          </w:tcPr>
          <w:p w:rsidR="008423E4" w:rsidRPr="0022177D" w:rsidRDefault="0048788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87883" w:rsidP="008423E4">
      <w:pPr>
        <w:jc w:val="center"/>
      </w:pPr>
    </w:p>
    <w:p w:rsidR="008423E4" w:rsidRPr="00B31F0E" w:rsidRDefault="00487883" w:rsidP="008423E4"/>
    <w:p w:rsidR="008423E4" w:rsidRPr="00742794" w:rsidRDefault="0048788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05A36" w:rsidTr="00345119">
        <w:tc>
          <w:tcPr>
            <w:tcW w:w="9576" w:type="dxa"/>
          </w:tcPr>
          <w:p w:rsidR="008423E4" w:rsidRPr="00861995" w:rsidRDefault="00487883" w:rsidP="00345119">
            <w:pPr>
              <w:jc w:val="right"/>
            </w:pPr>
            <w:r>
              <w:t>H.B. 2867</w:t>
            </w:r>
          </w:p>
        </w:tc>
      </w:tr>
      <w:tr w:rsidR="00005A36" w:rsidTr="00345119">
        <w:tc>
          <w:tcPr>
            <w:tcW w:w="9576" w:type="dxa"/>
          </w:tcPr>
          <w:p w:rsidR="008423E4" w:rsidRPr="00861995" w:rsidRDefault="00487883" w:rsidP="00205C77">
            <w:pPr>
              <w:jc w:val="right"/>
            </w:pPr>
            <w:r>
              <w:t xml:space="preserve">By: </w:t>
            </w:r>
            <w:r>
              <w:t>Metcalf</w:t>
            </w:r>
          </w:p>
        </w:tc>
      </w:tr>
      <w:tr w:rsidR="00005A36" w:rsidTr="00345119">
        <w:tc>
          <w:tcPr>
            <w:tcW w:w="9576" w:type="dxa"/>
          </w:tcPr>
          <w:p w:rsidR="008423E4" w:rsidRPr="00861995" w:rsidRDefault="00487883" w:rsidP="00345119">
            <w:pPr>
              <w:jc w:val="right"/>
            </w:pPr>
            <w:r>
              <w:t>Higher Education</w:t>
            </w:r>
          </w:p>
        </w:tc>
      </w:tr>
      <w:tr w:rsidR="00005A36" w:rsidTr="00345119">
        <w:tc>
          <w:tcPr>
            <w:tcW w:w="9576" w:type="dxa"/>
          </w:tcPr>
          <w:p w:rsidR="008423E4" w:rsidRDefault="0048788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87883" w:rsidP="008423E4">
      <w:pPr>
        <w:tabs>
          <w:tab w:val="right" w:pos="9360"/>
        </w:tabs>
      </w:pPr>
    </w:p>
    <w:p w:rsidR="008423E4" w:rsidRDefault="00487883" w:rsidP="008423E4"/>
    <w:p w:rsidR="008423E4" w:rsidRDefault="0048788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05A36" w:rsidTr="00345119">
        <w:tc>
          <w:tcPr>
            <w:tcW w:w="9576" w:type="dxa"/>
          </w:tcPr>
          <w:p w:rsidR="008423E4" w:rsidRPr="00A8133F" w:rsidRDefault="00487883" w:rsidP="00F7331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87883" w:rsidP="00F7331F"/>
          <w:p w:rsidR="008423E4" w:rsidRDefault="00487883" w:rsidP="00F7331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</w:t>
            </w:r>
            <w:r>
              <w:t xml:space="preserve">that Sam Houston State University has received approval to offer the degree of doctor of osteopathic medicine and that the mission of </w:t>
            </w:r>
            <w:r>
              <w:t>its</w:t>
            </w:r>
            <w:r>
              <w:t xml:space="preserve"> proposed college of osteopathic medicine </w:t>
            </w:r>
            <w:r>
              <w:t>to improve access to medical education for economically disadvantaged student</w:t>
            </w:r>
            <w:r>
              <w:t xml:space="preserve">s </w:t>
            </w:r>
            <w:r>
              <w:t>aligns with the purposes of the joint admission medical program</w:t>
            </w:r>
            <w:r>
              <w:t xml:space="preserve">. H.B. 2867 seeks to advance these objectives by authorizing the establishment of the college and codifying its existence with regard to </w:t>
            </w:r>
            <w:r>
              <w:t>associated</w:t>
            </w:r>
            <w:r>
              <w:t xml:space="preserve"> statutes, including </w:t>
            </w:r>
            <w:r>
              <w:t xml:space="preserve">certain </w:t>
            </w:r>
            <w:r>
              <w:t>funding provisi</w:t>
            </w:r>
            <w:r>
              <w:t xml:space="preserve">ons and </w:t>
            </w:r>
            <w:r>
              <w:t>participation in the joint program</w:t>
            </w:r>
            <w:r>
              <w:t>.</w:t>
            </w:r>
            <w:r>
              <w:t xml:space="preserve"> </w:t>
            </w:r>
          </w:p>
          <w:p w:rsidR="008423E4" w:rsidRPr="00E26B13" w:rsidRDefault="00487883" w:rsidP="00F7331F">
            <w:pPr>
              <w:rPr>
                <w:b/>
              </w:rPr>
            </w:pPr>
          </w:p>
        </w:tc>
      </w:tr>
      <w:tr w:rsidR="00005A36" w:rsidTr="00345119">
        <w:tc>
          <w:tcPr>
            <w:tcW w:w="9576" w:type="dxa"/>
          </w:tcPr>
          <w:p w:rsidR="0017725B" w:rsidRDefault="00487883" w:rsidP="00F733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87883" w:rsidP="00F7331F">
            <w:pPr>
              <w:rPr>
                <w:b/>
                <w:u w:val="single"/>
              </w:rPr>
            </w:pPr>
          </w:p>
          <w:p w:rsidR="00502C6F" w:rsidRPr="00502C6F" w:rsidRDefault="00487883" w:rsidP="00F7331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</w:t>
            </w:r>
            <w:r>
              <w:t>he eligibility of a person for community supervision, parole, or mandatory supervision.</w:t>
            </w:r>
          </w:p>
          <w:p w:rsidR="0017725B" w:rsidRPr="0017725B" w:rsidRDefault="00487883" w:rsidP="00F7331F">
            <w:pPr>
              <w:rPr>
                <w:b/>
                <w:u w:val="single"/>
              </w:rPr>
            </w:pPr>
          </w:p>
        </w:tc>
      </w:tr>
      <w:tr w:rsidR="00005A36" w:rsidTr="00345119">
        <w:tc>
          <w:tcPr>
            <w:tcW w:w="9576" w:type="dxa"/>
          </w:tcPr>
          <w:p w:rsidR="008423E4" w:rsidRPr="00A8133F" w:rsidRDefault="00487883" w:rsidP="00F7331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87883" w:rsidP="00F7331F"/>
          <w:p w:rsidR="00502C6F" w:rsidRDefault="00487883" w:rsidP="00F7331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>
              <w:t xml:space="preserve">board of regents of the Texas State University </w:t>
            </w:r>
            <w:r w:rsidRPr="0038297E">
              <w:t xml:space="preserve">System in SECTION 1 </w:t>
            </w:r>
            <w:r w:rsidRPr="0038297E">
              <w:t>of</w:t>
            </w:r>
            <w:r>
              <w:t xml:space="preserve"> this bill.</w:t>
            </w:r>
          </w:p>
          <w:p w:rsidR="008423E4" w:rsidRPr="00E21FDC" w:rsidRDefault="00487883" w:rsidP="00F7331F">
            <w:pPr>
              <w:rPr>
                <w:b/>
              </w:rPr>
            </w:pPr>
          </w:p>
        </w:tc>
      </w:tr>
      <w:tr w:rsidR="00005A36" w:rsidTr="00345119">
        <w:tc>
          <w:tcPr>
            <w:tcW w:w="9576" w:type="dxa"/>
          </w:tcPr>
          <w:p w:rsidR="008423E4" w:rsidRPr="00A8133F" w:rsidRDefault="00487883" w:rsidP="00F7331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87883" w:rsidP="00F7331F"/>
          <w:p w:rsidR="00E758B5" w:rsidRDefault="00487883" w:rsidP="00F7331F">
            <w:pPr>
              <w:pStyle w:val="Header"/>
              <w:jc w:val="both"/>
            </w:pPr>
            <w:r>
              <w:t xml:space="preserve">H.B. </w:t>
            </w:r>
            <w:r>
              <w:t>2867</w:t>
            </w:r>
            <w:r>
              <w:t xml:space="preserve"> amends the Education Code to establish </w:t>
            </w:r>
            <w:r w:rsidRPr="00CA35B2">
              <w:t>the Sam Houston State University College of Osteopathic Medicine</w:t>
            </w:r>
            <w:r>
              <w:t xml:space="preserve"> as a college of Sam Houston State University </w:t>
            </w:r>
            <w:r>
              <w:t xml:space="preserve">under the management and control of the board of regents of the </w:t>
            </w:r>
            <w:r>
              <w:t>Texas State University System</w:t>
            </w:r>
            <w:r>
              <w:t xml:space="preserve"> with degrees offered under the name and authority of </w:t>
            </w:r>
            <w:r>
              <w:t xml:space="preserve">Sam Houston State University. </w:t>
            </w:r>
            <w:r>
              <w:t>The bill authorizes the provost of the university, on behalf of the board, to e</w:t>
            </w:r>
            <w:r>
              <w:t xml:space="preserve">xecute and carry out an affiliation or coordinating agreement with any other entity or institution. The bill authorizes the board to </w:t>
            </w:r>
            <w:r>
              <w:t xml:space="preserve">take </w:t>
            </w:r>
            <w:r>
              <w:t>the following</w:t>
            </w:r>
            <w:r>
              <w:t xml:space="preserve"> actions</w:t>
            </w:r>
            <w:r>
              <w:t>:</w:t>
            </w:r>
          </w:p>
          <w:p w:rsidR="00E758B5" w:rsidRDefault="00487883" w:rsidP="00D14907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 xml:space="preserve">prescribe courses leading to customary degrees; </w:t>
            </w:r>
          </w:p>
          <w:p w:rsidR="00E758B5" w:rsidRDefault="00487883" w:rsidP="00D14907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adopt rules for the operation, control, and ma</w:t>
            </w:r>
            <w:r>
              <w:t xml:space="preserve">nagement of the college as necessary for conducting a college of </w:t>
            </w:r>
            <w:r>
              <w:t xml:space="preserve">osteopathic </w:t>
            </w:r>
            <w:r>
              <w:t xml:space="preserve">medicine of the first class; </w:t>
            </w:r>
          </w:p>
          <w:p w:rsidR="00E758B5" w:rsidRDefault="00487883" w:rsidP="00D14907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solicit, accept, and administer gifts and grants from any public or private source for the use and benefit of the co</w:t>
            </w:r>
            <w:r>
              <w:t>llege</w:t>
            </w:r>
            <w:r>
              <w:t xml:space="preserve">; and </w:t>
            </w:r>
          </w:p>
          <w:p w:rsidR="00E758B5" w:rsidRDefault="00487883" w:rsidP="00D14907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enter into agreements</w:t>
            </w:r>
            <w:r>
              <w:t xml:space="preserve"> under which facilities that are used in the college's teaching and research programs and that are additional to the college's facilities may be provided by a public or private entity.</w:t>
            </w:r>
          </w:p>
          <w:p w:rsidR="00601E09" w:rsidRDefault="00487883" w:rsidP="00F7331F">
            <w:pPr>
              <w:pStyle w:val="Header"/>
              <w:jc w:val="both"/>
            </w:pPr>
          </w:p>
          <w:p w:rsidR="0038297E" w:rsidRDefault="00487883" w:rsidP="00F7331F">
            <w:pPr>
              <w:pStyle w:val="Header"/>
              <w:jc w:val="both"/>
            </w:pPr>
            <w:r>
              <w:t xml:space="preserve">H.B. </w:t>
            </w:r>
            <w:r>
              <w:t>2867</w:t>
            </w:r>
            <w:r>
              <w:t xml:space="preserve"> establishes that a teaching hospital considered suitable by </w:t>
            </w:r>
            <w:r>
              <w:t>the board may be provided by a public or private entity and prohibits the construction, maintenance, or operation of su</w:t>
            </w:r>
            <w:r>
              <w:t xml:space="preserve">ch a hospital with state funds. The bill </w:t>
            </w:r>
            <w:r>
              <w:t xml:space="preserve">establishes that </w:t>
            </w:r>
            <w:r>
              <w:t>the university</w:t>
            </w:r>
            <w:r>
              <w:t xml:space="preserve"> is not entitled to receive any formula funding for the college.</w:t>
            </w:r>
          </w:p>
          <w:p w:rsidR="00307138" w:rsidRDefault="00487883" w:rsidP="00F7331F">
            <w:pPr>
              <w:pStyle w:val="Header"/>
              <w:jc w:val="both"/>
            </w:pPr>
          </w:p>
          <w:p w:rsidR="00307138" w:rsidRDefault="00487883" w:rsidP="00F7331F">
            <w:pPr>
              <w:pStyle w:val="Header"/>
              <w:jc w:val="both"/>
            </w:pPr>
            <w:r>
              <w:t>H.B. 2867</w:t>
            </w:r>
            <w:r>
              <w:t xml:space="preserve"> </w:t>
            </w:r>
            <w:r>
              <w:t xml:space="preserve">classifies the college as a medical and dental unit for purposes of the Higher Education Coordinating Act of 1965. </w:t>
            </w:r>
            <w:r>
              <w:t xml:space="preserve">The bill includes the </w:t>
            </w:r>
            <w:r w:rsidRPr="009F7069">
              <w:t>college among the health-related institutions of higher education eligible for appropriations from the perma</w:t>
            </w:r>
            <w:r w:rsidRPr="009F7069">
              <w:t>nent health fund for higher education</w:t>
            </w:r>
            <w:r>
              <w:t>, beginning with allocations for the state fiscal year that begins September 1, 2019.</w:t>
            </w:r>
            <w:r>
              <w:t xml:space="preserve"> </w:t>
            </w:r>
            <w:r>
              <w:t xml:space="preserve">The bill includes the college </w:t>
            </w:r>
            <w:r>
              <w:t xml:space="preserve">among the institutions to which statutory provisions relating to </w:t>
            </w:r>
            <w:r w:rsidRPr="00FB63A1">
              <w:t>medical</w:t>
            </w:r>
            <w:r w:rsidRPr="00FB63A1">
              <w:t xml:space="preserve"> malpractice coverage for certain institutions</w:t>
            </w:r>
            <w:r>
              <w:t xml:space="preserve"> and relating to </w:t>
            </w:r>
            <w:r>
              <w:t>certain state-funded</w:t>
            </w:r>
            <w:r>
              <w:t xml:space="preserve"> residency programs apply.</w:t>
            </w:r>
          </w:p>
          <w:p w:rsidR="009E6C92" w:rsidRDefault="00487883" w:rsidP="00F7331F">
            <w:pPr>
              <w:pStyle w:val="Header"/>
              <w:jc w:val="both"/>
            </w:pPr>
          </w:p>
          <w:p w:rsidR="00C917A2" w:rsidRDefault="00487883" w:rsidP="00F7331F">
            <w:pPr>
              <w:pStyle w:val="Header"/>
              <w:jc w:val="both"/>
            </w:pPr>
            <w:r>
              <w:t xml:space="preserve">H.B. 2867 </w:t>
            </w:r>
            <w:r>
              <w:t xml:space="preserve">includes the college as a participating medical school for purposes of the joint admission medical program and </w:t>
            </w:r>
            <w:r>
              <w:t xml:space="preserve">requires </w:t>
            </w:r>
            <w:r w:rsidRPr="00A6404D">
              <w:t xml:space="preserve">the </w:t>
            </w:r>
            <w:r>
              <w:t>college</w:t>
            </w:r>
            <w:r>
              <w:t xml:space="preserve"> to </w:t>
            </w:r>
            <w:r>
              <w:t xml:space="preserve">enter into the </w:t>
            </w:r>
            <w:r>
              <w:t xml:space="preserve">required </w:t>
            </w:r>
            <w:r>
              <w:t>agreement with the joint admission medical program council</w:t>
            </w:r>
            <w:r>
              <w:t xml:space="preserve">, </w:t>
            </w:r>
            <w:r>
              <w:t>select an appropriate faculty member to represent the college on the council</w:t>
            </w:r>
            <w:r>
              <w:t>, and</w:t>
            </w:r>
            <w:r>
              <w:t xml:space="preserve"> provide internships and mentoring under the joint admission medical program not later than</w:t>
            </w:r>
            <w:r>
              <w:t xml:space="preserve"> the 2022-2023 academic year to admit participating students to the college under the program. </w:t>
            </w:r>
          </w:p>
          <w:p w:rsidR="008423E4" w:rsidRPr="00835628" w:rsidRDefault="00487883" w:rsidP="00F7331F">
            <w:pPr>
              <w:pStyle w:val="Header"/>
              <w:jc w:val="both"/>
              <w:rPr>
                <w:b/>
              </w:rPr>
            </w:pPr>
          </w:p>
        </w:tc>
      </w:tr>
      <w:tr w:rsidR="00005A36" w:rsidTr="00345119">
        <w:tc>
          <w:tcPr>
            <w:tcW w:w="9576" w:type="dxa"/>
          </w:tcPr>
          <w:p w:rsidR="008423E4" w:rsidRPr="00A8133F" w:rsidRDefault="00487883" w:rsidP="00F7331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87883" w:rsidP="00F7331F"/>
          <w:p w:rsidR="008423E4" w:rsidRPr="003624F2" w:rsidRDefault="00487883" w:rsidP="00F7331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487883" w:rsidP="00F7331F">
            <w:pPr>
              <w:rPr>
                <w:b/>
              </w:rPr>
            </w:pPr>
          </w:p>
        </w:tc>
      </w:tr>
    </w:tbl>
    <w:p w:rsidR="008423E4" w:rsidRPr="00BE0E75" w:rsidRDefault="0048788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8788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7883">
      <w:r>
        <w:separator/>
      </w:r>
    </w:p>
  </w:endnote>
  <w:endnote w:type="continuationSeparator" w:id="0">
    <w:p w:rsidR="00000000" w:rsidRDefault="0048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87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05A36" w:rsidTr="009C1E9A">
      <w:trPr>
        <w:cantSplit/>
      </w:trPr>
      <w:tc>
        <w:tcPr>
          <w:tcW w:w="0" w:type="pct"/>
        </w:tcPr>
        <w:p w:rsidR="00137D90" w:rsidRDefault="004878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8788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8788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878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878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5A36" w:rsidTr="009C1E9A">
      <w:trPr>
        <w:cantSplit/>
      </w:trPr>
      <w:tc>
        <w:tcPr>
          <w:tcW w:w="0" w:type="pct"/>
        </w:tcPr>
        <w:p w:rsidR="00EC379B" w:rsidRDefault="004878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878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20196</w:t>
          </w:r>
        </w:p>
      </w:tc>
      <w:tc>
        <w:tcPr>
          <w:tcW w:w="2453" w:type="pct"/>
        </w:tcPr>
        <w:p w:rsidR="00EC379B" w:rsidRDefault="004878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19.76.61</w:t>
          </w:r>
          <w:r>
            <w:fldChar w:fldCharType="end"/>
          </w:r>
        </w:p>
      </w:tc>
    </w:tr>
    <w:tr w:rsidR="00005A36" w:rsidTr="009C1E9A">
      <w:trPr>
        <w:cantSplit/>
      </w:trPr>
      <w:tc>
        <w:tcPr>
          <w:tcW w:w="0" w:type="pct"/>
        </w:tcPr>
        <w:p w:rsidR="00EC379B" w:rsidRDefault="0048788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8788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87883" w:rsidP="006D504F">
          <w:pPr>
            <w:pStyle w:val="Footer"/>
            <w:rPr>
              <w:rStyle w:val="PageNumber"/>
            </w:rPr>
          </w:pPr>
        </w:p>
        <w:p w:rsidR="00EC379B" w:rsidRDefault="004878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5A3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878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8788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8788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8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7883">
      <w:r>
        <w:separator/>
      </w:r>
    </w:p>
  </w:footnote>
  <w:footnote w:type="continuationSeparator" w:id="0">
    <w:p w:rsidR="00000000" w:rsidRDefault="0048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8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87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87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1DF"/>
    <w:multiLevelType w:val="hybridMultilevel"/>
    <w:tmpl w:val="D944C06C"/>
    <w:lvl w:ilvl="0" w:tplc="4AF4D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C6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EC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2C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3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68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C0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C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2C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D3F"/>
    <w:multiLevelType w:val="hybridMultilevel"/>
    <w:tmpl w:val="D02A79D4"/>
    <w:lvl w:ilvl="0" w:tplc="289EB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A3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67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45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C4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03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C0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E8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6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3D22"/>
    <w:multiLevelType w:val="hybridMultilevel"/>
    <w:tmpl w:val="EA289A28"/>
    <w:lvl w:ilvl="0" w:tplc="8A186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704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4B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23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0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CD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61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CD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EE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36"/>
    <w:rsid w:val="00005A36"/>
    <w:rsid w:val="004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F17C03-6EC0-4F82-850B-9753425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2C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2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2C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2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2C6F"/>
    <w:rPr>
      <w:b/>
      <w:bCs/>
    </w:rPr>
  </w:style>
  <w:style w:type="character" w:styleId="Hyperlink">
    <w:name w:val="Hyperlink"/>
    <w:basedOn w:val="DefaultParagraphFont"/>
    <w:unhideWhenUsed/>
    <w:rsid w:val="00B225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75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3213</Characters>
  <Application>Microsoft Office Word</Application>
  <DocSecurity>4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HB02867 (Committee Report (Unamended))</vt:lpstr>
    </vt:vector>
  </TitlesOfParts>
  <Company>State of Texas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20196</dc:subject>
  <dc:creator>State of Texas</dc:creator>
  <dc:description>HB 2867 by Metcalf-(H)Higher Education</dc:description>
  <cp:lastModifiedBy>Laura Ramsay</cp:lastModifiedBy>
  <cp:revision>2</cp:revision>
  <cp:lastPrinted>2003-11-26T17:21:00Z</cp:lastPrinted>
  <dcterms:created xsi:type="dcterms:W3CDTF">2019-03-26T22:30:00Z</dcterms:created>
  <dcterms:modified xsi:type="dcterms:W3CDTF">2019-03-26T22:30:00Z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19.76.61</vt:lpwstr>
  </property>
</Properties>
</file>