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E10F2" w:rsidTr="00345119">
        <w:tc>
          <w:tcPr>
            <w:tcW w:w="9576" w:type="dxa"/>
            <w:noWrap/>
          </w:tcPr>
          <w:p w:rsidR="008423E4" w:rsidRPr="0022177D" w:rsidRDefault="0070150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01507" w:rsidP="008423E4">
      <w:pPr>
        <w:jc w:val="center"/>
      </w:pPr>
    </w:p>
    <w:p w:rsidR="008423E4" w:rsidRPr="00B31F0E" w:rsidRDefault="00701507" w:rsidP="008423E4"/>
    <w:p w:rsidR="008423E4" w:rsidRPr="00742794" w:rsidRDefault="0070150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E10F2" w:rsidTr="00345119">
        <w:tc>
          <w:tcPr>
            <w:tcW w:w="9576" w:type="dxa"/>
          </w:tcPr>
          <w:p w:rsidR="008423E4" w:rsidRPr="00861995" w:rsidRDefault="00701507" w:rsidP="00345119">
            <w:pPr>
              <w:jc w:val="right"/>
            </w:pPr>
            <w:r>
              <w:t>C.S.H.B. 2875</w:t>
            </w:r>
          </w:p>
        </w:tc>
      </w:tr>
      <w:tr w:rsidR="002E10F2" w:rsidTr="00345119">
        <w:tc>
          <w:tcPr>
            <w:tcW w:w="9576" w:type="dxa"/>
          </w:tcPr>
          <w:p w:rsidR="008423E4" w:rsidRPr="00861995" w:rsidRDefault="00701507" w:rsidP="00C107BA">
            <w:pPr>
              <w:jc w:val="right"/>
            </w:pPr>
            <w:r>
              <w:t xml:space="preserve">By: </w:t>
            </w:r>
            <w:r>
              <w:t>Davis, Yvonne</w:t>
            </w:r>
          </w:p>
        </w:tc>
      </w:tr>
      <w:tr w:rsidR="002E10F2" w:rsidTr="00345119">
        <w:tc>
          <w:tcPr>
            <w:tcW w:w="9576" w:type="dxa"/>
          </w:tcPr>
          <w:p w:rsidR="008423E4" w:rsidRPr="00861995" w:rsidRDefault="00701507" w:rsidP="00345119">
            <w:pPr>
              <w:jc w:val="right"/>
            </w:pPr>
            <w:r>
              <w:t>Criminal Jurisprudence</w:t>
            </w:r>
          </w:p>
        </w:tc>
      </w:tr>
      <w:tr w:rsidR="002E10F2" w:rsidTr="00345119">
        <w:tc>
          <w:tcPr>
            <w:tcW w:w="9576" w:type="dxa"/>
          </w:tcPr>
          <w:p w:rsidR="008423E4" w:rsidRDefault="0070150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01507" w:rsidP="008423E4">
      <w:pPr>
        <w:tabs>
          <w:tab w:val="right" w:pos="9360"/>
        </w:tabs>
      </w:pPr>
    </w:p>
    <w:p w:rsidR="008423E4" w:rsidRDefault="00701507" w:rsidP="008423E4"/>
    <w:p w:rsidR="008423E4" w:rsidRDefault="0070150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E10F2" w:rsidTr="00345119">
        <w:tc>
          <w:tcPr>
            <w:tcW w:w="9576" w:type="dxa"/>
          </w:tcPr>
          <w:p w:rsidR="008423E4" w:rsidRPr="00A8133F" w:rsidRDefault="00701507" w:rsidP="005714E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01507" w:rsidP="005714E5"/>
          <w:p w:rsidR="008423E4" w:rsidRDefault="00701507" w:rsidP="005714E5">
            <w:pPr>
              <w:pStyle w:val="Header"/>
              <w:jc w:val="both"/>
            </w:pPr>
            <w:r>
              <w:t xml:space="preserve">It has been noted that oftentimes individuals who exploit others are </w:t>
            </w:r>
            <w:r>
              <w:t xml:space="preserve">habitual </w:t>
            </w:r>
            <w:r>
              <w:t xml:space="preserve">offenders but that </w:t>
            </w:r>
            <w:r>
              <w:t xml:space="preserve">state </w:t>
            </w:r>
            <w:r>
              <w:t xml:space="preserve">law </w:t>
            </w:r>
            <w:r>
              <w:t xml:space="preserve">does not provide for the admissibility or use of evidence of previous similar conduct by the offender for purposes of prosecuting these </w:t>
            </w:r>
            <w:r>
              <w:t xml:space="preserve">exploitation </w:t>
            </w:r>
            <w:r>
              <w:t xml:space="preserve">offenses. </w:t>
            </w:r>
            <w:r>
              <w:t>C.S.</w:t>
            </w:r>
            <w:r>
              <w:t>H.B. 2875 seeks to give prosecutors more tools to effectively prosecute the offense of exploi</w:t>
            </w:r>
            <w:r>
              <w:t>tation of a child, elderly individual, or disabled individual by permitting the use of such evidence in the prosecution of th</w:t>
            </w:r>
            <w:r>
              <w:t>at</w:t>
            </w:r>
            <w:r>
              <w:t xml:space="preserve"> offense. </w:t>
            </w:r>
          </w:p>
          <w:p w:rsidR="008423E4" w:rsidRPr="00E26B13" w:rsidRDefault="00701507" w:rsidP="005714E5">
            <w:pPr>
              <w:rPr>
                <w:b/>
              </w:rPr>
            </w:pPr>
          </w:p>
        </w:tc>
      </w:tr>
      <w:tr w:rsidR="002E10F2" w:rsidTr="00345119">
        <w:tc>
          <w:tcPr>
            <w:tcW w:w="9576" w:type="dxa"/>
          </w:tcPr>
          <w:p w:rsidR="0017725B" w:rsidRDefault="00701507" w:rsidP="005714E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01507" w:rsidP="005714E5">
            <w:pPr>
              <w:rPr>
                <w:b/>
                <w:u w:val="single"/>
              </w:rPr>
            </w:pPr>
          </w:p>
          <w:p w:rsidR="00431040" w:rsidRPr="00431040" w:rsidRDefault="00701507" w:rsidP="005714E5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01507" w:rsidP="005714E5">
            <w:pPr>
              <w:rPr>
                <w:b/>
                <w:u w:val="single"/>
              </w:rPr>
            </w:pPr>
          </w:p>
        </w:tc>
      </w:tr>
      <w:tr w:rsidR="002E10F2" w:rsidTr="00345119">
        <w:tc>
          <w:tcPr>
            <w:tcW w:w="9576" w:type="dxa"/>
          </w:tcPr>
          <w:p w:rsidR="008423E4" w:rsidRPr="00A8133F" w:rsidRDefault="00701507" w:rsidP="005714E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01507" w:rsidP="005714E5"/>
          <w:p w:rsidR="00431040" w:rsidRDefault="00701507" w:rsidP="005714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701507" w:rsidP="005714E5">
            <w:pPr>
              <w:rPr>
                <w:b/>
              </w:rPr>
            </w:pPr>
          </w:p>
        </w:tc>
      </w:tr>
      <w:tr w:rsidR="002E10F2" w:rsidTr="00345119">
        <w:tc>
          <w:tcPr>
            <w:tcW w:w="9576" w:type="dxa"/>
          </w:tcPr>
          <w:p w:rsidR="008423E4" w:rsidRPr="00A8133F" w:rsidRDefault="00701507" w:rsidP="005714E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4F64A6" w:rsidRDefault="00701507" w:rsidP="005714E5">
            <w:pPr>
              <w:rPr>
                <w:sz w:val="22"/>
              </w:rPr>
            </w:pPr>
          </w:p>
          <w:p w:rsidR="00FE2E42" w:rsidRDefault="00701507" w:rsidP="005714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2875 amends the </w:t>
            </w:r>
            <w:r w:rsidRPr="00431040">
              <w:t>Code of Criminal Procedure</w:t>
            </w:r>
            <w:r>
              <w:t xml:space="preserve"> </w:t>
            </w:r>
            <w:r w:rsidRPr="00DE256D">
              <w:t>to establish that,</w:t>
            </w:r>
            <w:r>
              <w:t xml:space="preserve"> </w:t>
            </w:r>
            <w:r w:rsidRPr="00DD2822">
              <w:t xml:space="preserve">in the prosecution of an offense of exploitation of a child, elderly individual, or disabled individual, evidence that the defendant </w:t>
            </w:r>
            <w:r>
              <w:t xml:space="preserve">has </w:t>
            </w:r>
            <w:r w:rsidRPr="00DD2822">
              <w:t>engaged in other conduct</w:t>
            </w:r>
            <w:r>
              <w:t xml:space="preserve"> that is similar to the alleged criminal conduct </w:t>
            </w:r>
            <w:r w:rsidRPr="00DD2822">
              <w:t xml:space="preserve">may be </w:t>
            </w:r>
            <w:r w:rsidRPr="00DD2822">
              <w:t>admi</w:t>
            </w:r>
            <w:r>
              <w:t>tted</w:t>
            </w:r>
            <w:r w:rsidRPr="00DD2822">
              <w:t xml:space="preserve"> </w:t>
            </w:r>
            <w:r w:rsidRPr="00DD2822">
              <w:t>for the purpose of showing the</w:t>
            </w:r>
            <w:r w:rsidRPr="00DD2822">
              <w:t xml:space="preserve"> defendant's knowledge or intent regarding an element of the offense</w:t>
            </w:r>
            <w:r>
              <w:t xml:space="preserve">. </w:t>
            </w:r>
            <w:r>
              <w:t xml:space="preserve">The bill </w:t>
            </w:r>
            <w:r>
              <w:t>subject</w:t>
            </w:r>
            <w:r>
              <w:t>s</w:t>
            </w:r>
            <w:r>
              <w:t xml:space="preserve"> this provision to</w:t>
            </w:r>
            <w:r>
              <w:t xml:space="preserve"> Rule 403, Texas Rules of Evidence</w:t>
            </w:r>
            <w:r>
              <w:t>,</w:t>
            </w:r>
            <w:r>
              <w:t xml:space="preserve"> and</w:t>
            </w:r>
            <w:r>
              <w:t xml:space="preserve"> expressly does not permit </w:t>
            </w:r>
            <w:r w:rsidRPr="00D136F6">
              <w:t>the presentation of character evidence that would otherwise be inadmissible</w:t>
            </w:r>
            <w:r>
              <w:t xml:space="preserve"> under tho</w:t>
            </w:r>
            <w:r>
              <w:t>se rules or other applicable law</w:t>
            </w:r>
            <w:r w:rsidRPr="00D136F6">
              <w:t>.</w:t>
            </w:r>
          </w:p>
          <w:p w:rsidR="008423E4" w:rsidRPr="004F64A6" w:rsidRDefault="00701507" w:rsidP="005714E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  <w:r>
              <w:t xml:space="preserve">  </w:t>
            </w:r>
          </w:p>
        </w:tc>
      </w:tr>
      <w:tr w:rsidR="002E10F2" w:rsidTr="00345119">
        <w:tc>
          <w:tcPr>
            <w:tcW w:w="9576" w:type="dxa"/>
          </w:tcPr>
          <w:p w:rsidR="008423E4" w:rsidRPr="00A8133F" w:rsidRDefault="00701507" w:rsidP="005714E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4F64A6" w:rsidRDefault="00701507" w:rsidP="005714E5">
            <w:pPr>
              <w:rPr>
                <w:sz w:val="22"/>
              </w:rPr>
            </w:pPr>
          </w:p>
          <w:p w:rsidR="008423E4" w:rsidRPr="003624F2" w:rsidRDefault="00701507" w:rsidP="005714E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31040">
              <w:t>September 1, 2019.</w:t>
            </w:r>
          </w:p>
          <w:p w:rsidR="008423E4" w:rsidRPr="004F64A6" w:rsidRDefault="00701507" w:rsidP="005714E5">
            <w:pPr>
              <w:rPr>
                <w:b/>
                <w:sz w:val="22"/>
              </w:rPr>
            </w:pPr>
          </w:p>
        </w:tc>
      </w:tr>
      <w:tr w:rsidR="002E10F2" w:rsidTr="00345119">
        <w:tc>
          <w:tcPr>
            <w:tcW w:w="9576" w:type="dxa"/>
          </w:tcPr>
          <w:p w:rsidR="00C107BA" w:rsidRDefault="00701507" w:rsidP="005714E5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136F6" w:rsidRPr="004F64A6" w:rsidRDefault="00701507" w:rsidP="005714E5">
            <w:pPr>
              <w:jc w:val="both"/>
              <w:rPr>
                <w:sz w:val="22"/>
              </w:rPr>
            </w:pPr>
          </w:p>
          <w:p w:rsidR="00D136F6" w:rsidRDefault="00701507" w:rsidP="005714E5">
            <w:pPr>
              <w:jc w:val="both"/>
            </w:pPr>
            <w:r>
              <w:t xml:space="preserve">While C.S.H.B. 2875 may differ from the original in minor or nonsubstantive ways, the following summarizes the substantial differences </w:t>
            </w:r>
            <w:r>
              <w:t>between the introduced and committee substitute versions of the bill.</w:t>
            </w:r>
          </w:p>
          <w:p w:rsidR="00D136F6" w:rsidRPr="004F64A6" w:rsidRDefault="00701507" w:rsidP="005714E5">
            <w:pPr>
              <w:jc w:val="both"/>
              <w:rPr>
                <w:sz w:val="22"/>
              </w:rPr>
            </w:pPr>
          </w:p>
          <w:p w:rsidR="00D136F6" w:rsidRDefault="00701507" w:rsidP="005714E5">
            <w:pPr>
              <w:jc w:val="both"/>
            </w:pPr>
            <w:r>
              <w:t xml:space="preserve">The substitute does not include </w:t>
            </w:r>
            <w:r>
              <w:t xml:space="preserve">a </w:t>
            </w:r>
            <w:r>
              <w:t>provision</w:t>
            </w:r>
            <w:r>
              <w:t xml:space="preserve"> establishing that </w:t>
            </w:r>
            <w:r>
              <w:t>uncorroborated testimony of an accomplice</w:t>
            </w:r>
            <w:r>
              <w:t xml:space="preserve"> is sufficient to establish the defendant's knowledge or intent regarding an eleme</w:t>
            </w:r>
            <w:r>
              <w:t>nt of the offense</w:t>
            </w:r>
            <w:r>
              <w:t xml:space="preserve">. </w:t>
            </w:r>
          </w:p>
          <w:p w:rsidR="00D136F6" w:rsidRPr="004F64A6" w:rsidRDefault="00701507" w:rsidP="005714E5">
            <w:pPr>
              <w:jc w:val="both"/>
              <w:rPr>
                <w:sz w:val="22"/>
              </w:rPr>
            </w:pPr>
          </w:p>
          <w:p w:rsidR="00D136F6" w:rsidRPr="00D136F6" w:rsidRDefault="00701507" w:rsidP="005714E5">
            <w:pPr>
              <w:jc w:val="both"/>
            </w:pPr>
            <w:r>
              <w:t xml:space="preserve">The substitute subjects the bill's provisions to </w:t>
            </w:r>
            <w:r>
              <w:t>Rule 403,</w:t>
            </w:r>
            <w:r>
              <w:t xml:space="preserve"> Texas Rules of Evidence</w:t>
            </w:r>
            <w:r>
              <w:t>,</w:t>
            </w:r>
            <w:r>
              <w:t xml:space="preserve"> and expressly does not permit the presentation of otherwise inadmissible character evidence</w:t>
            </w:r>
            <w:r>
              <w:t xml:space="preserve">. </w:t>
            </w:r>
          </w:p>
        </w:tc>
      </w:tr>
    </w:tbl>
    <w:p w:rsidR="004108C3" w:rsidRPr="004F64A6" w:rsidRDefault="00701507" w:rsidP="008423E4">
      <w:pPr>
        <w:rPr>
          <w:sz w:val="10"/>
        </w:rPr>
      </w:pPr>
    </w:p>
    <w:sectPr w:rsidR="004108C3" w:rsidRPr="004F64A6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1507">
      <w:r>
        <w:separator/>
      </w:r>
    </w:p>
  </w:endnote>
  <w:endnote w:type="continuationSeparator" w:id="0">
    <w:p w:rsidR="00000000" w:rsidRDefault="0070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1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E10F2" w:rsidTr="009C1E9A">
      <w:trPr>
        <w:cantSplit/>
      </w:trPr>
      <w:tc>
        <w:tcPr>
          <w:tcW w:w="0" w:type="pct"/>
        </w:tcPr>
        <w:p w:rsidR="00137D90" w:rsidRDefault="0070150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0150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0150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0150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0150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E10F2" w:rsidTr="009C1E9A">
      <w:trPr>
        <w:cantSplit/>
      </w:trPr>
      <w:tc>
        <w:tcPr>
          <w:tcW w:w="0" w:type="pct"/>
        </w:tcPr>
        <w:p w:rsidR="00EC379B" w:rsidRDefault="0070150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0150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28221</w:t>
          </w:r>
        </w:p>
      </w:tc>
      <w:tc>
        <w:tcPr>
          <w:tcW w:w="2453" w:type="pct"/>
        </w:tcPr>
        <w:p w:rsidR="00EC379B" w:rsidRDefault="0070150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19.108.188</w:t>
          </w:r>
          <w:r>
            <w:fldChar w:fldCharType="end"/>
          </w:r>
        </w:p>
      </w:tc>
    </w:tr>
    <w:tr w:rsidR="002E10F2" w:rsidTr="009C1E9A">
      <w:trPr>
        <w:cantSplit/>
      </w:trPr>
      <w:tc>
        <w:tcPr>
          <w:tcW w:w="0" w:type="pct"/>
        </w:tcPr>
        <w:p w:rsidR="00EC379B" w:rsidRDefault="0070150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0150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26011</w:t>
          </w:r>
        </w:p>
      </w:tc>
      <w:tc>
        <w:tcPr>
          <w:tcW w:w="2453" w:type="pct"/>
        </w:tcPr>
        <w:p w:rsidR="00EC379B" w:rsidRDefault="00701507" w:rsidP="006D504F">
          <w:pPr>
            <w:pStyle w:val="Footer"/>
            <w:rPr>
              <w:rStyle w:val="PageNumber"/>
            </w:rPr>
          </w:pPr>
        </w:p>
        <w:p w:rsidR="00EC379B" w:rsidRDefault="0070150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E10F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0150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0150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0150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1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1507">
      <w:r>
        <w:separator/>
      </w:r>
    </w:p>
  </w:footnote>
  <w:footnote w:type="continuationSeparator" w:id="0">
    <w:p w:rsidR="00000000" w:rsidRDefault="00701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1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1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1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F3EE3"/>
    <w:multiLevelType w:val="hybridMultilevel"/>
    <w:tmpl w:val="615A46D8"/>
    <w:lvl w:ilvl="0" w:tplc="EB688A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3DC49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3A4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ACF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271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AC65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E6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24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E683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F2"/>
    <w:rsid w:val="002E10F2"/>
    <w:rsid w:val="0070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6422EC-D190-4E88-A072-30E404A4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104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310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10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1040"/>
    <w:rPr>
      <w:b/>
      <w:bCs/>
    </w:rPr>
  </w:style>
  <w:style w:type="paragraph" w:styleId="Revision">
    <w:name w:val="Revision"/>
    <w:hidden/>
    <w:uiPriority w:val="99"/>
    <w:semiHidden/>
    <w:rsid w:val="00FE2E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2033</Characters>
  <Application>Microsoft Office Word</Application>
  <DocSecurity>4</DocSecurity>
  <Lines>57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HB02875 (Committee Report (Substituted))</vt:lpstr>
    </vt:vector>
  </TitlesOfParts>
  <Company>State of Texas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28221</dc:subject>
  <dc:creator>State of Texas</dc:creator>
  <dc:description>HB 2875 by Davis, Yvonne-(H)Criminal Jurisprudence (Substitute Document Number: 86R 26011)</dc:description>
  <cp:lastModifiedBy>Stacey Nicchio</cp:lastModifiedBy>
  <cp:revision>2</cp:revision>
  <cp:lastPrinted>2003-11-26T17:21:00Z</cp:lastPrinted>
  <dcterms:created xsi:type="dcterms:W3CDTF">2019-04-25T22:02:00Z</dcterms:created>
  <dcterms:modified xsi:type="dcterms:W3CDTF">2019-04-25T22:02:00Z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19.108.188</vt:lpwstr>
  </property>
</Properties>
</file>