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3DBB" w:rsidTr="00345119">
        <w:tc>
          <w:tcPr>
            <w:tcW w:w="9576" w:type="dxa"/>
            <w:noWrap/>
          </w:tcPr>
          <w:p w:rsidR="008423E4" w:rsidRPr="0022177D" w:rsidRDefault="00C417B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417B0" w:rsidP="008423E4">
      <w:pPr>
        <w:jc w:val="center"/>
      </w:pPr>
    </w:p>
    <w:p w:rsidR="008423E4" w:rsidRPr="00B31F0E" w:rsidRDefault="00C417B0" w:rsidP="008423E4"/>
    <w:p w:rsidR="008423E4" w:rsidRPr="00742794" w:rsidRDefault="00C417B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3DBB" w:rsidTr="00345119">
        <w:tc>
          <w:tcPr>
            <w:tcW w:w="9576" w:type="dxa"/>
          </w:tcPr>
          <w:p w:rsidR="008423E4" w:rsidRPr="00861995" w:rsidRDefault="00C417B0" w:rsidP="00345119">
            <w:pPr>
              <w:jc w:val="right"/>
            </w:pPr>
            <w:r>
              <w:t>H.B. 2906</w:t>
            </w:r>
          </w:p>
        </w:tc>
      </w:tr>
      <w:tr w:rsidR="00243DBB" w:rsidTr="00345119">
        <w:tc>
          <w:tcPr>
            <w:tcW w:w="9576" w:type="dxa"/>
          </w:tcPr>
          <w:p w:rsidR="008423E4" w:rsidRPr="00861995" w:rsidRDefault="00C417B0" w:rsidP="00C13614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243DBB" w:rsidTr="00345119">
        <w:tc>
          <w:tcPr>
            <w:tcW w:w="9576" w:type="dxa"/>
          </w:tcPr>
          <w:p w:rsidR="008423E4" w:rsidRPr="00861995" w:rsidRDefault="00C417B0" w:rsidP="00345119">
            <w:pPr>
              <w:jc w:val="right"/>
            </w:pPr>
            <w:r>
              <w:t>Criminal Jurisprudence</w:t>
            </w:r>
          </w:p>
        </w:tc>
      </w:tr>
      <w:tr w:rsidR="00243DBB" w:rsidTr="00345119">
        <w:tc>
          <w:tcPr>
            <w:tcW w:w="9576" w:type="dxa"/>
          </w:tcPr>
          <w:p w:rsidR="008423E4" w:rsidRDefault="00C417B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417B0" w:rsidP="008423E4">
      <w:pPr>
        <w:tabs>
          <w:tab w:val="right" w:pos="9360"/>
        </w:tabs>
      </w:pPr>
    </w:p>
    <w:p w:rsidR="008423E4" w:rsidRDefault="00C417B0" w:rsidP="008423E4"/>
    <w:p w:rsidR="008423E4" w:rsidRDefault="00C417B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3DBB" w:rsidTr="00345119">
        <w:tc>
          <w:tcPr>
            <w:tcW w:w="9576" w:type="dxa"/>
          </w:tcPr>
          <w:p w:rsidR="008423E4" w:rsidRPr="00A8133F" w:rsidRDefault="00C417B0" w:rsidP="007C7D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417B0" w:rsidP="007C7D3C"/>
          <w:p w:rsidR="008423E4" w:rsidRDefault="00C417B0" w:rsidP="007C7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 w:rsidRPr="0073493C">
              <w:t xml:space="preserve">that victims of human trafficking who have accrued convictions as a direct result of </w:t>
            </w:r>
            <w:r>
              <w:t xml:space="preserve">being </w:t>
            </w:r>
            <w:r w:rsidRPr="0073493C">
              <w:t>victim</w:t>
            </w:r>
            <w:r>
              <w:t>s</w:t>
            </w:r>
            <w:r>
              <w:t xml:space="preserve"> of that crime</w:t>
            </w:r>
            <w:r w:rsidRPr="0073493C">
              <w:t xml:space="preserve"> </w:t>
            </w:r>
            <w:r>
              <w:t xml:space="preserve">may </w:t>
            </w:r>
            <w:r w:rsidRPr="0073493C">
              <w:t xml:space="preserve">be treated as criminals even after they have escaped the </w:t>
            </w:r>
            <w:r>
              <w:t xml:space="preserve">criminal </w:t>
            </w:r>
            <w:r w:rsidRPr="0073493C">
              <w:t>environment</w:t>
            </w:r>
            <w:r>
              <w:t xml:space="preserve"> and</w:t>
            </w:r>
            <w:r>
              <w:t xml:space="preserve"> thus</w:t>
            </w:r>
            <w:r>
              <w:t xml:space="preserve"> face obstacles in obtaining stable housing and employment</w:t>
            </w:r>
            <w:r w:rsidRPr="0073493C">
              <w:t xml:space="preserve">. </w:t>
            </w:r>
            <w:r>
              <w:t xml:space="preserve">There have been calls to </w:t>
            </w:r>
            <w:r>
              <w:t xml:space="preserve">make orders of nondisclosure of criminal history record information accessible </w:t>
            </w:r>
            <w:r>
              <w:t>to</w:t>
            </w:r>
            <w:r>
              <w:t xml:space="preserve"> more of</w:t>
            </w:r>
            <w:r>
              <w:t xml:space="preserve"> </w:t>
            </w:r>
            <w:r>
              <w:t>these</w:t>
            </w:r>
            <w:r>
              <w:t xml:space="preserve"> </w:t>
            </w:r>
            <w:r>
              <w:t xml:space="preserve">victims so that </w:t>
            </w:r>
            <w:r>
              <w:t>the</w:t>
            </w:r>
            <w:r>
              <w:t>ir</w:t>
            </w:r>
            <w:r>
              <w:t xml:space="preserve"> </w:t>
            </w:r>
            <w:r>
              <w:t xml:space="preserve">past </w:t>
            </w:r>
            <w:r>
              <w:t xml:space="preserve">convictions </w:t>
            </w:r>
            <w:r>
              <w:t xml:space="preserve">resulting from being trafficked </w:t>
            </w:r>
            <w:r>
              <w:t>do not prevent their successful reintegration into society</w:t>
            </w:r>
            <w:r>
              <w:t>. H.B. 2906 seeks to increase these victims' chan</w:t>
            </w:r>
            <w:r>
              <w:t>c</w:t>
            </w:r>
            <w:r>
              <w:t xml:space="preserve">es of achieving future success by </w:t>
            </w:r>
            <w:r>
              <w:t>ex</w:t>
            </w:r>
            <w:r>
              <w:t>panding the group of traff</w:t>
            </w:r>
            <w:r>
              <w:t>icking victims</w:t>
            </w:r>
            <w:r>
              <w:rPr>
                <w:rStyle w:val="CommentReference"/>
              </w:rPr>
              <w:t xml:space="preserve"> </w:t>
            </w:r>
            <w:r>
              <w:t>eligib</w:t>
            </w:r>
            <w:r>
              <w:t xml:space="preserve">le </w:t>
            </w:r>
            <w:r>
              <w:t xml:space="preserve">for </w:t>
            </w:r>
            <w:r>
              <w:t xml:space="preserve">an </w:t>
            </w:r>
            <w:r>
              <w:t xml:space="preserve">order of nondisclosure and revising </w:t>
            </w:r>
            <w:r>
              <w:t>related</w:t>
            </w:r>
            <w:r>
              <w:t xml:space="preserve"> </w:t>
            </w:r>
            <w:r>
              <w:t xml:space="preserve">petition </w:t>
            </w:r>
            <w:r>
              <w:t>procedure</w:t>
            </w:r>
            <w:r>
              <w:t>s</w:t>
            </w:r>
            <w:r>
              <w:t xml:space="preserve"> </w:t>
            </w:r>
            <w:r>
              <w:t>and disclosure provisions</w:t>
            </w:r>
            <w:r>
              <w:t xml:space="preserve">.  </w:t>
            </w:r>
          </w:p>
          <w:p w:rsidR="008423E4" w:rsidRPr="00E26B13" w:rsidRDefault="00C417B0" w:rsidP="007C7D3C">
            <w:pPr>
              <w:rPr>
                <w:b/>
              </w:rPr>
            </w:pPr>
          </w:p>
        </w:tc>
      </w:tr>
      <w:tr w:rsidR="00243DBB" w:rsidTr="00345119">
        <w:tc>
          <w:tcPr>
            <w:tcW w:w="9576" w:type="dxa"/>
          </w:tcPr>
          <w:p w:rsidR="0017725B" w:rsidRDefault="00C417B0" w:rsidP="007C7D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417B0" w:rsidP="007C7D3C">
            <w:pPr>
              <w:rPr>
                <w:b/>
                <w:u w:val="single"/>
              </w:rPr>
            </w:pPr>
          </w:p>
          <w:p w:rsidR="00B82EF4" w:rsidRPr="00B82EF4" w:rsidRDefault="00C417B0" w:rsidP="007C7D3C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417B0" w:rsidP="007C7D3C">
            <w:pPr>
              <w:rPr>
                <w:b/>
                <w:u w:val="single"/>
              </w:rPr>
            </w:pPr>
          </w:p>
        </w:tc>
      </w:tr>
      <w:tr w:rsidR="00243DBB" w:rsidTr="00345119">
        <w:tc>
          <w:tcPr>
            <w:tcW w:w="9576" w:type="dxa"/>
          </w:tcPr>
          <w:p w:rsidR="008423E4" w:rsidRPr="00A8133F" w:rsidRDefault="00C417B0" w:rsidP="007C7D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417B0" w:rsidP="007C7D3C"/>
          <w:p w:rsidR="00B82EF4" w:rsidRDefault="00C417B0" w:rsidP="007C7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5466C9" w:rsidRDefault="00C417B0" w:rsidP="007C7D3C">
            <w:pPr>
              <w:rPr>
                <w:b/>
                <w:sz w:val="20"/>
              </w:rPr>
            </w:pPr>
          </w:p>
        </w:tc>
      </w:tr>
      <w:tr w:rsidR="00243DBB" w:rsidTr="00345119">
        <w:tc>
          <w:tcPr>
            <w:tcW w:w="9576" w:type="dxa"/>
          </w:tcPr>
          <w:p w:rsidR="008423E4" w:rsidRPr="00A8133F" w:rsidRDefault="00C417B0" w:rsidP="007C7D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5466C9" w:rsidRDefault="00C417B0" w:rsidP="007C7D3C">
            <w:pPr>
              <w:rPr>
                <w:sz w:val="20"/>
              </w:rPr>
            </w:pPr>
          </w:p>
          <w:p w:rsidR="00E31300" w:rsidRDefault="00C417B0" w:rsidP="007C7D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2906 amends the Government Code </w:t>
            </w:r>
            <w:r>
              <w:t xml:space="preserve">to </w:t>
            </w:r>
            <w:r>
              <w:t>extend the</w:t>
            </w:r>
            <w:r>
              <w:t xml:space="preserve"> </w:t>
            </w:r>
            <w:r>
              <w:t xml:space="preserve">eligibility of </w:t>
            </w:r>
            <w:r>
              <w:t>trafficking of persons victims</w:t>
            </w:r>
            <w:r>
              <w:t xml:space="preserve"> </w:t>
            </w:r>
            <w:r>
              <w:t xml:space="preserve">placed on community supervision for certain offenses </w:t>
            </w:r>
            <w:r>
              <w:t xml:space="preserve">to </w:t>
            </w:r>
            <w:r w:rsidRPr="00953B9F">
              <w:t>petition</w:t>
            </w:r>
            <w:r>
              <w:t xml:space="preserve"> a court for an </w:t>
            </w:r>
            <w:r w:rsidRPr="00953B9F">
              <w:t>order of nondisclosure of criminal history record information</w:t>
            </w:r>
            <w:r>
              <w:t xml:space="preserve"> </w:t>
            </w:r>
            <w:r>
              <w:t xml:space="preserve">to such </w:t>
            </w:r>
            <w:r>
              <w:t xml:space="preserve">a </w:t>
            </w:r>
            <w:r>
              <w:t xml:space="preserve">victim </w:t>
            </w:r>
            <w:r>
              <w:t>convicted of or placed on deferred adjudic</w:t>
            </w:r>
            <w:r>
              <w:t>ation community supervision for</w:t>
            </w:r>
            <w:r>
              <w:t xml:space="preserve"> </w:t>
            </w:r>
            <w:r>
              <w:t xml:space="preserve">any of </w:t>
            </w:r>
            <w:r>
              <w:t>those</w:t>
            </w:r>
            <w:r>
              <w:t xml:space="preserve"> offenses</w:t>
            </w:r>
            <w:r>
              <w:t xml:space="preserve"> or</w:t>
            </w:r>
            <w:r>
              <w:t xml:space="preserve"> for criminal trespass</w:t>
            </w:r>
            <w:r>
              <w:t xml:space="preserve">. The bill </w:t>
            </w:r>
            <w:r>
              <w:t xml:space="preserve">requires the </w:t>
            </w:r>
            <w:r>
              <w:t xml:space="preserve">nondisclosure order </w:t>
            </w:r>
            <w:r>
              <w:t xml:space="preserve">petition to allege specific facts that, </w:t>
            </w:r>
            <w:r w:rsidRPr="00301D6F">
              <w:t>if proved, would establish that the p</w:t>
            </w:r>
            <w:r>
              <w:t xml:space="preserve">etitioner committed the applicable offense </w:t>
            </w:r>
            <w:r w:rsidRPr="00301D6F">
              <w:t>solely as a victim of trafficking of persons</w:t>
            </w:r>
            <w:r>
              <w:t xml:space="preserve"> and</w:t>
            </w:r>
            <w:r>
              <w:t xml:space="preserve"> authorizes an appl</w:t>
            </w:r>
            <w:r>
              <w:t>icable victim</w:t>
            </w:r>
            <w:r>
              <w:t xml:space="preserve"> </w:t>
            </w:r>
            <w:r>
              <w:t>to</w:t>
            </w:r>
            <w:r>
              <w:t xml:space="preserve"> petition </w:t>
            </w:r>
            <w:r>
              <w:t>the appropriate</w:t>
            </w:r>
            <w:r>
              <w:t xml:space="preserve"> court only on or after the 90th day</w:t>
            </w:r>
            <w:r>
              <w:t xml:space="preserve"> after the date the </w:t>
            </w:r>
            <w:r>
              <w:t>person</w:t>
            </w:r>
            <w:r>
              <w:t>:</w:t>
            </w:r>
          </w:p>
          <w:p w:rsidR="00E31300" w:rsidRDefault="00C417B0" w:rsidP="007C7D3C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completed the sentence, including any term of confinement imposed and payment of all fines, costs, and restitution imposed</w:t>
            </w:r>
            <w:r>
              <w:t>;</w:t>
            </w:r>
            <w:r>
              <w:t xml:space="preserve"> or</w:t>
            </w:r>
          </w:p>
          <w:p w:rsidR="00E31300" w:rsidRDefault="00C417B0" w:rsidP="005466C9">
            <w:pPr>
              <w:pStyle w:val="Header"/>
              <w:numPr>
                <w:ilvl w:val="0"/>
                <w:numId w:val="3"/>
              </w:numPr>
              <w:spacing w:before="120"/>
              <w:jc w:val="both"/>
            </w:pPr>
            <w:r w:rsidRPr="005E6D0E">
              <w:t>if the person was placed</w:t>
            </w:r>
            <w:r w:rsidRPr="005E6D0E">
              <w:t xml:space="preserve"> on deferred adjudication community supervision</w:t>
            </w:r>
            <w:r>
              <w:t>, received a dismissal and discharge.</w:t>
            </w:r>
            <w:r>
              <w:t xml:space="preserve"> </w:t>
            </w:r>
          </w:p>
          <w:p w:rsidR="007C03CC" w:rsidRPr="005466C9" w:rsidRDefault="00C417B0" w:rsidP="005466C9">
            <w:pPr>
              <w:pStyle w:val="Header"/>
              <w:contextualSpacing/>
              <w:jc w:val="both"/>
              <w:rPr>
                <w:sz w:val="16"/>
              </w:rPr>
            </w:pPr>
          </w:p>
          <w:p w:rsidR="000A7D16" w:rsidRDefault="00C417B0" w:rsidP="007C7D3C">
            <w:pPr>
              <w:pStyle w:val="Header"/>
              <w:spacing w:before="120"/>
              <w:jc w:val="both"/>
            </w:pPr>
            <w:r>
              <w:t>H.B. 2906</w:t>
            </w:r>
            <w:r>
              <w:t xml:space="preserve"> </w:t>
            </w:r>
            <w:r>
              <w:t xml:space="preserve">prohibits a criminal justice agency from disclosing </w:t>
            </w:r>
            <w:r w:rsidRPr="009C156E">
              <w:t>criminal history record information</w:t>
            </w:r>
            <w:r>
              <w:t xml:space="preserve"> </w:t>
            </w:r>
            <w:r w:rsidRPr="009C156E">
              <w:t xml:space="preserve">that is the subject of an order of nondisclosure </w:t>
            </w:r>
            <w:r>
              <w:t>for such trafficking v</w:t>
            </w:r>
            <w:r>
              <w:t>ictims</w:t>
            </w:r>
            <w:r>
              <w:t xml:space="preserve"> for regulatory licensing purposes or to certain specified </w:t>
            </w:r>
            <w:r w:rsidRPr="009C156E">
              <w:t>noncriminal justice agencies or entities</w:t>
            </w:r>
            <w:r>
              <w:t>.</w:t>
            </w:r>
          </w:p>
          <w:p w:rsidR="008423E4" w:rsidRPr="005466C9" w:rsidRDefault="00C417B0" w:rsidP="007C7D3C">
            <w:pPr>
              <w:rPr>
                <w:b/>
                <w:sz w:val="20"/>
              </w:rPr>
            </w:pPr>
          </w:p>
        </w:tc>
      </w:tr>
      <w:tr w:rsidR="00243DBB" w:rsidTr="00345119">
        <w:tc>
          <w:tcPr>
            <w:tcW w:w="9576" w:type="dxa"/>
          </w:tcPr>
          <w:p w:rsidR="008423E4" w:rsidRPr="00A8133F" w:rsidRDefault="00C417B0" w:rsidP="007C7D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5466C9" w:rsidRDefault="00C417B0" w:rsidP="007C7D3C">
            <w:pPr>
              <w:rPr>
                <w:sz w:val="20"/>
              </w:rPr>
            </w:pPr>
          </w:p>
          <w:p w:rsidR="008423E4" w:rsidRPr="00233FDB" w:rsidRDefault="00C417B0" w:rsidP="005466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5466C9" w:rsidRDefault="00C417B0" w:rsidP="008423E4">
      <w:pPr>
        <w:rPr>
          <w:sz w:val="12"/>
        </w:rPr>
      </w:pPr>
    </w:p>
    <w:sectPr w:rsidR="004108C3" w:rsidRPr="005466C9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417B0">
      <w:r>
        <w:separator/>
      </w:r>
    </w:p>
  </w:endnote>
  <w:endnote w:type="continuationSeparator" w:id="0">
    <w:p w:rsidR="00000000" w:rsidRDefault="00C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3DBB" w:rsidTr="009C1E9A">
      <w:trPr>
        <w:cantSplit/>
      </w:trPr>
      <w:tc>
        <w:tcPr>
          <w:tcW w:w="0" w:type="pct"/>
        </w:tcPr>
        <w:p w:rsidR="00137D90" w:rsidRDefault="00C41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41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417B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41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41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BB" w:rsidTr="009C1E9A">
      <w:trPr>
        <w:cantSplit/>
      </w:trPr>
      <w:tc>
        <w:tcPr>
          <w:tcW w:w="0" w:type="pct"/>
        </w:tcPr>
        <w:p w:rsidR="00EC379B" w:rsidRDefault="00C417B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417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29456</w:t>
          </w:r>
        </w:p>
      </w:tc>
      <w:tc>
        <w:tcPr>
          <w:tcW w:w="2453" w:type="pct"/>
        </w:tcPr>
        <w:p w:rsidR="00EC379B" w:rsidRDefault="00C41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19.114.387</w:t>
          </w:r>
          <w:r>
            <w:fldChar w:fldCharType="end"/>
          </w:r>
        </w:p>
      </w:tc>
    </w:tr>
    <w:tr w:rsidR="00243DBB" w:rsidTr="009C1E9A">
      <w:trPr>
        <w:cantSplit/>
      </w:trPr>
      <w:tc>
        <w:tcPr>
          <w:tcW w:w="0" w:type="pct"/>
        </w:tcPr>
        <w:p w:rsidR="00EC379B" w:rsidRDefault="00C41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417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417B0" w:rsidP="006D504F">
          <w:pPr>
            <w:pStyle w:val="Footer"/>
            <w:rPr>
              <w:rStyle w:val="PageNumber"/>
            </w:rPr>
          </w:pPr>
        </w:p>
        <w:p w:rsidR="00EC379B" w:rsidRDefault="00C417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DB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417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417B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417B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417B0">
      <w:r>
        <w:separator/>
      </w:r>
    </w:p>
  </w:footnote>
  <w:footnote w:type="continuationSeparator" w:id="0">
    <w:p w:rsidR="00000000" w:rsidRDefault="00C4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41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DF7"/>
    <w:multiLevelType w:val="hybridMultilevel"/>
    <w:tmpl w:val="A4B06EFC"/>
    <w:lvl w:ilvl="0" w:tplc="A208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A56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E6E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89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80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07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8C2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0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7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12732"/>
    <w:multiLevelType w:val="hybridMultilevel"/>
    <w:tmpl w:val="B78C1BB4"/>
    <w:lvl w:ilvl="0" w:tplc="82E63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6A8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4F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0A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5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09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05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D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3A4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5442"/>
    <w:multiLevelType w:val="hybridMultilevel"/>
    <w:tmpl w:val="3E743AC6"/>
    <w:lvl w:ilvl="0" w:tplc="0090C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CC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64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62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6D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69F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82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0E8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6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B"/>
    <w:rsid w:val="00243DBB"/>
    <w:rsid w:val="00C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9B164F-DA58-4C87-A89B-AA76CFD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6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6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6FBB"/>
    <w:rPr>
      <w:b/>
      <w:bCs/>
    </w:rPr>
  </w:style>
  <w:style w:type="character" w:styleId="Hyperlink">
    <w:name w:val="Hyperlink"/>
    <w:basedOn w:val="DefaultParagraphFont"/>
    <w:unhideWhenUsed/>
    <w:rsid w:val="00AD6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HB02906 (Committee Report (Unamended))</vt:lpstr>
    </vt:vector>
  </TitlesOfParts>
  <Company>State of Texas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29456</dc:subject>
  <dc:creator>State of Texas</dc:creator>
  <dc:description>HB 2906 by Parker-(H)Criminal Jurisprudence</dc:description>
  <cp:lastModifiedBy>Stacey Nicchio</cp:lastModifiedBy>
  <cp:revision>2</cp:revision>
  <cp:lastPrinted>2003-11-26T17:21:00Z</cp:lastPrinted>
  <dcterms:created xsi:type="dcterms:W3CDTF">2019-04-30T22:38:00Z</dcterms:created>
  <dcterms:modified xsi:type="dcterms:W3CDTF">2019-04-30T22:38:00Z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19.114.387</vt:lpwstr>
  </property>
</Properties>
</file>