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1F0E" w:rsidTr="00345119">
        <w:tc>
          <w:tcPr>
            <w:tcW w:w="9576" w:type="dxa"/>
            <w:noWrap/>
          </w:tcPr>
          <w:p w:rsidR="008423E4" w:rsidRPr="0022177D" w:rsidRDefault="00D10B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0BEA" w:rsidP="008423E4">
      <w:pPr>
        <w:jc w:val="center"/>
      </w:pPr>
    </w:p>
    <w:p w:rsidR="008423E4" w:rsidRPr="00B31F0E" w:rsidRDefault="00D10BEA" w:rsidP="008423E4"/>
    <w:p w:rsidR="008423E4" w:rsidRPr="00742794" w:rsidRDefault="00D10B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1F0E" w:rsidTr="00345119">
        <w:tc>
          <w:tcPr>
            <w:tcW w:w="9576" w:type="dxa"/>
          </w:tcPr>
          <w:p w:rsidR="008423E4" w:rsidRPr="00861995" w:rsidRDefault="00D10BEA" w:rsidP="00345119">
            <w:pPr>
              <w:jc w:val="right"/>
            </w:pPr>
            <w:r>
              <w:t>C.S.H.B. 2928</w:t>
            </w:r>
          </w:p>
        </w:tc>
      </w:tr>
      <w:tr w:rsidR="00FA1F0E" w:rsidTr="00345119">
        <w:tc>
          <w:tcPr>
            <w:tcW w:w="9576" w:type="dxa"/>
          </w:tcPr>
          <w:p w:rsidR="008423E4" w:rsidRPr="00861995" w:rsidRDefault="00D10BEA" w:rsidP="00FE1C8F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FA1F0E" w:rsidTr="00345119">
        <w:tc>
          <w:tcPr>
            <w:tcW w:w="9576" w:type="dxa"/>
          </w:tcPr>
          <w:p w:rsidR="008423E4" w:rsidRPr="00861995" w:rsidRDefault="00D10BEA" w:rsidP="00345119">
            <w:pPr>
              <w:jc w:val="right"/>
            </w:pPr>
            <w:r>
              <w:t>Judiciary &amp; Civil Jurisprudence</w:t>
            </w:r>
          </w:p>
        </w:tc>
      </w:tr>
      <w:tr w:rsidR="00FA1F0E" w:rsidTr="00345119">
        <w:tc>
          <w:tcPr>
            <w:tcW w:w="9576" w:type="dxa"/>
          </w:tcPr>
          <w:p w:rsidR="008423E4" w:rsidRDefault="00D10BE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10BEA" w:rsidP="008423E4">
      <w:pPr>
        <w:tabs>
          <w:tab w:val="right" w:pos="9360"/>
        </w:tabs>
      </w:pPr>
    </w:p>
    <w:p w:rsidR="008423E4" w:rsidRDefault="00D10BEA" w:rsidP="008423E4"/>
    <w:p w:rsidR="008423E4" w:rsidRDefault="00D10B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1F0E" w:rsidTr="00345119">
        <w:tc>
          <w:tcPr>
            <w:tcW w:w="9576" w:type="dxa"/>
          </w:tcPr>
          <w:p w:rsidR="008423E4" w:rsidRPr="00A8133F" w:rsidRDefault="00D10BEA" w:rsidP="00345B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0BEA" w:rsidP="00345B51"/>
          <w:p w:rsidR="00080151" w:rsidRDefault="00D10BEA" w:rsidP="00345B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in counties </w:t>
            </w:r>
            <w:r>
              <w:t>where the constitutional county court</w:t>
            </w:r>
            <w:r>
              <w:t>s</w:t>
            </w:r>
            <w:r>
              <w:t xml:space="preserve"> exercise exclusive original probate jurisdiction</w:t>
            </w:r>
            <w:r>
              <w:t>, the question of whether contested probate matters should be heard by an assigned statutory probate court judge or by the applicable district court</w:t>
            </w:r>
            <w:r>
              <w:t xml:space="preserve"> may be a cause of added contention</w:t>
            </w:r>
            <w:r>
              <w:t xml:space="preserve">. </w:t>
            </w:r>
            <w:r>
              <w:t>C.S.</w:t>
            </w:r>
            <w:r>
              <w:t>H.B. 2928 seeks to</w:t>
            </w:r>
            <w:r>
              <w:t xml:space="preserve"> address this issue by changing the method of deciding this question </w:t>
            </w:r>
            <w:r>
              <w:t xml:space="preserve">to </w:t>
            </w:r>
            <w:r>
              <w:t>give the</w:t>
            </w:r>
            <w:r>
              <w:t xml:space="preserve"> </w:t>
            </w:r>
            <w:r>
              <w:t>judge</w:t>
            </w:r>
            <w:r>
              <w:t xml:space="preserve"> of the county court</w:t>
            </w:r>
            <w:r>
              <w:t xml:space="preserve"> discretion in choosing between the options </w:t>
            </w:r>
            <w:r>
              <w:t>if the parties make conflicting requests</w:t>
            </w:r>
            <w:r>
              <w:t xml:space="preserve"> rather than automatically favoring the assignment of a statutory </w:t>
            </w:r>
            <w:r>
              <w:t>probate court judge.</w:t>
            </w:r>
            <w:r>
              <w:t xml:space="preserve">  </w:t>
            </w:r>
          </w:p>
          <w:p w:rsidR="008423E4" w:rsidRPr="00E26B13" w:rsidRDefault="00D10BEA" w:rsidP="00345B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A1F0E" w:rsidTr="00345119">
        <w:tc>
          <w:tcPr>
            <w:tcW w:w="9576" w:type="dxa"/>
          </w:tcPr>
          <w:p w:rsidR="0017725B" w:rsidRDefault="00D10BEA" w:rsidP="00345B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0BEA" w:rsidP="00345B51">
            <w:pPr>
              <w:rPr>
                <w:b/>
                <w:u w:val="single"/>
              </w:rPr>
            </w:pPr>
          </w:p>
          <w:p w:rsidR="009A3FE3" w:rsidRPr="009A3FE3" w:rsidRDefault="00D10BEA" w:rsidP="00345B5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</w:t>
            </w:r>
            <w:r>
              <w:t>rson for community supervision, parole, or mandatory supervision.</w:t>
            </w:r>
          </w:p>
          <w:p w:rsidR="0017725B" w:rsidRPr="0017725B" w:rsidRDefault="00D10BEA" w:rsidP="00345B51">
            <w:pPr>
              <w:rPr>
                <w:b/>
                <w:u w:val="single"/>
              </w:rPr>
            </w:pPr>
          </w:p>
        </w:tc>
      </w:tr>
      <w:tr w:rsidR="00FA1F0E" w:rsidTr="00345119">
        <w:tc>
          <w:tcPr>
            <w:tcW w:w="9576" w:type="dxa"/>
          </w:tcPr>
          <w:p w:rsidR="008423E4" w:rsidRPr="00A8133F" w:rsidRDefault="00D10BEA" w:rsidP="00345B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0BEA" w:rsidP="00345B51"/>
          <w:p w:rsidR="009A3FE3" w:rsidRDefault="00D10BEA" w:rsidP="00345B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10BEA" w:rsidP="00345B51">
            <w:pPr>
              <w:rPr>
                <w:b/>
              </w:rPr>
            </w:pPr>
          </w:p>
        </w:tc>
      </w:tr>
      <w:tr w:rsidR="00FA1F0E" w:rsidTr="00345119">
        <w:tc>
          <w:tcPr>
            <w:tcW w:w="9576" w:type="dxa"/>
          </w:tcPr>
          <w:p w:rsidR="008423E4" w:rsidRPr="00A8133F" w:rsidRDefault="00D10BEA" w:rsidP="00345B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0BEA" w:rsidP="00345B51"/>
          <w:p w:rsidR="00D731D3" w:rsidRDefault="00D10BEA" w:rsidP="00345B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2928 amends the Estates Code to </w:t>
            </w:r>
            <w:r>
              <w:t xml:space="preserve">revise provisions relating to </w:t>
            </w:r>
            <w:r>
              <w:t>jurisdiction of</w:t>
            </w:r>
            <w:r>
              <w:t xml:space="preserve"> </w:t>
            </w:r>
            <w:r w:rsidRPr="00D4189C">
              <w:t>contested probate proceeding</w:t>
            </w:r>
            <w:r>
              <w:t>s</w:t>
            </w:r>
            <w:r w:rsidRPr="00D4189C">
              <w:t xml:space="preserve"> in a county in which there is no statutory probate court or county court at law exercising original probate jurisdiction </w:t>
            </w:r>
            <w:r>
              <w:t>as foll</w:t>
            </w:r>
            <w:r>
              <w:t>ows:</w:t>
            </w:r>
          </w:p>
          <w:p w:rsidR="00D4189C" w:rsidRDefault="00D10BEA" w:rsidP="00345B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</w:t>
            </w:r>
            <w:r>
              <w:t xml:space="preserve">authorizing </w:t>
            </w:r>
            <w:r>
              <w:t xml:space="preserve">the </w:t>
            </w:r>
            <w:r>
              <w:t xml:space="preserve">judge of the </w:t>
            </w:r>
            <w:r>
              <w:t xml:space="preserve">county </w:t>
            </w:r>
            <w:r>
              <w:t>court</w:t>
            </w:r>
            <w:r>
              <w:t xml:space="preserve">, if more than one party to the proceeding </w:t>
            </w:r>
            <w:r>
              <w:t xml:space="preserve">timely </w:t>
            </w:r>
            <w:r>
              <w:t>files a motion</w:t>
            </w:r>
            <w:r>
              <w:t xml:space="preserve"> to </w:t>
            </w:r>
            <w:r w:rsidRPr="00CE31A8">
              <w:t>request the assignment of a statutory probate court judge</w:t>
            </w:r>
            <w:r>
              <w:t xml:space="preserve"> or a motion to </w:t>
            </w:r>
            <w:r w:rsidRPr="00CE31A8">
              <w:t>transfer the contested matter to the district court</w:t>
            </w:r>
            <w:r>
              <w:t xml:space="preserve"> and the </w:t>
            </w:r>
            <w:r>
              <w:t>motion</w:t>
            </w:r>
            <w:r>
              <w:t>s conflict</w:t>
            </w:r>
            <w:r>
              <w:t>,</w:t>
            </w:r>
            <w:r>
              <w:t xml:space="preserve"> to grant or deny either motion</w:t>
            </w:r>
            <w:r>
              <w:t>, with or without a hearing,</w:t>
            </w:r>
            <w:r>
              <w:t xml:space="preserve"> as considered appropriate under the circumstances of the contested matter</w:t>
            </w:r>
            <w:r>
              <w:t>;</w:t>
            </w:r>
            <w:r>
              <w:t xml:space="preserve"> </w:t>
            </w:r>
          </w:p>
          <w:p w:rsidR="00AB5127" w:rsidRDefault="00D10BEA" w:rsidP="00345B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prohibiting the </w:t>
            </w:r>
            <w:r>
              <w:t xml:space="preserve">county court </w:t>
            </w:r>
            <w:r>
              <w:t>judge, after the filing of such a motion, from granting any relief with respe</w:t>
            </w:r>
            <w:r>
              <w:t>ct to the contested matter other than the assignment or transfer requested in the motion, except for injunctive relief as needed to maintain the status quo existing before the matter became contested;</w:t>
            </w:r>
          </w:p>
          <w:p w:rsidR="009F6E88" w:rsidRDefault="00D10BEA" w:rsidP="00345B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</w:t>
            </w:r>
            <w:r>
              <w:t>r</w:t>
            </w:r>
            <w:r>
              <w:t>emov</w:t>
            </w:r>
            <w:r>
              <w:t>ing</w:t>
            </w:r>
            <w:r>
              <w:t xml:space="preserve"> </w:t>
            </w:r>
            <w:r>
              <w:t>language requiring</w:t>
            </w:r>
            <w:r>
              <w:t xml:space="preserve"> the</w:t>
            </w:r>
            <w:r>
              <w:t xml:space="preserve"> county court</w:t>
            </w:r>
            <w:r>
              <w:t xml:space="preserve"> judge to grant a motion for the assignment </w:t>
            </w:r>
            <w:r w:rsidRPr="008400ED">
              <w:t>of a statutory probate court judge</w:t>
            </w:r>
            <w:r>
              <w:t>,</w:t>
            </w:r>
            <w:r>
              <w:t xml:space="preserve"> if such a motion is filed by a party before the </w:t>
            </w:r>
            <w:r>
              <w:t xml:space="preserve">county court </w:t>
            </w:r>
            <w:r>
              <w:t xml:space="preserve">judge transfers the contested matter to a district court </w:t>
            </w:r>
            <w:r>
              <w:t xml:space="preserve">and is not withdrawn, </w:t>
            </w:r>
            <w:r>
              <w:t>and prohibiting the</w:t>
            </w:r>
            <w:r>
              <w:t xml:space="preserve"> county court</w:t>
            </w:r>
            <w:r>
              <w:t xml:space="preserve"> jud</w:t>
            </w:r>
            <w:r>
              <w:t xml:space="preserve">ge from transferring the matter to the district court </w:t>
            </w:r>
            <w:r>
              <w:t>under those circumstances;</w:t>
            </w:r>
          </w:p>
          <w:p w:rsidR="00217A97" w:rsidRDefault="00D10BEA" w:rsidP="00345B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removing language </w:t>
            </w:r>
            <w:r>
              <w:t>specifying that</w:t>
            </w:r>
            <w:r>
              <w:t xml:space="preserve"> the </w:t>
            </w:r>
            <w:r>
              <w:t xml:space="preserve">authority of the </w:t>
            </w:r>
            <w:r>
              <w:t xml:space="preserve">county court </w:t>
            </w:r>
            <w:r>
              <w:t>judge</w:t>
            </w:r>
            <w:r>
              <w:t xml:space="preserve"> </w:t>
            </w:r>
            <w:r>
              <w:t>who requests the assignment of a statutory probate court judge to request that the probate</w:t>
            </w:r>
            <w:r>
              <w:t xml:space="preserve"> court</w:t>
            </w:r>
            <w:r>
              <w:t xml:space="preserve"> j</w:t>
            </w:r>
            <w:r>
              <w:t>udge be assigned to the entire proceeding applies whether</w:t>
            </w:r>
            <w:r>
              <w:t xml:space="preserve"> </w:t>
            </w:r>
            <w:r>
              <w:t xml:space="preserve">the request is made </w:t>
            </w:r>
            <w:r>
              <w:t xml:space="preserve">on the county </w:t>
            </w:r>
            <w:r>
              <w:t xml:space="preserve">court </w:t>
            </w:r>
            <w:r>
              <w:t xml:space="preserve">judge's own motion or on </w:t>
            </w:r>
            <w:r>
              <w:t xml:space="preserve">the </w:t>
            </w:r>
            <w:r>
              <w:t>motion of a party to the proceeding;</w:t>
            </w:r>
          </w:p>
          <w:p w:rsidR="00217A97" w:rsidRDefault="00D10BEA" w:rsidP="00345B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sets out the conditions under which a party's motion </w:t>
            </w:r>
            <w:r w:rsidRPr="002C50E2">
              <w:t>to request the assignment of a statutor</w:t>
            </w:r>
            <w:r w:rsidRPr="002C50E2">
              <w:t>y probate court judge or to transfer the contested matter to the district court</w:t>
            </w:r>
            <w:r>
              <w:t xml:space="preserve"> is considered timely; and </w:t>
            </w:r>
          </w:p>
          <w:p w:rsidR="009F6E88" w:rsidRDefault="00D10BEA" w:rsidP="00345B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establishes that such a motion may be amended or withdrawn at any time before the judge grants the motion.  </w:t>
            </w:r>
          </w:p>
          <w:p w:rsidR="002C50E2" w:rsidRDefault="00D10BEA" w:rsidP="00345B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10BEA" w:rsidP="00345B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2928 </w:t>
            </w:r>
            <w:r>
              <w:t>removes a provision autho</w:t>
            </w:r>
            <w:r>
              <w:t xml:space="preserve">rizing a party to file a motion for the assignment of a statutory probate court judge before a matter in the proceeding becomes contested. </w:t>
            </w:r>
          </w:p>
          <w:p w:rsidR="008423E4" w:rsidRPr="00835628" w:rsidRDefault="00D10BEA" w:rsidP="00345B51">
            <w:pPr>
              <w:rPr>
                <w:b/>
              </w:rPr>
            </w:pPr>
          </w:p>
        </w:tc>
      </w:tr>
      <w:tr w:rsidR="00FA1F0E" w:rsidTr="00345119">
        <w:tc>
          <w:tcPr>
            <w:tcW w:w="9576" w:type="dxa"/>
          </w:tcPr>
          <w:p w:rsidR="008423E4" w:rsidRPr="00A8133F" w:rsidRDefault="00D10BEA" w:rsidP="00345B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0BEA" w:rsidP="00345B51"/>
          <w:p w:rsidR="008423E4" w:rsidRPr="003624F2" w:rsidRDefault="00D10BEA" w:rsidP="00345B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10BEA" w:rsidP="00345B51">
            <w:pPr>
              <w:rPr>
                <w:b/>
              </w:rPr>
            </w:pPr>
          </w:p>
        </w:tc>
      </w:tr>
      <w:tr w:rsidR="00FA1F0E" w:rsidTr="00345119">
        <w:tc>
          <w:tcPr>
            <w:tcW w:w="9576" w:type="dxa"/>
          </w:tcPr>
          <w:p w:rsidR="00FE1C8F" w:rsidRDefault="00D10BEA" w:rsidP="00345B5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A3A58" w:rsidRPr="009861DC" w:rsidRDefault="00D10BEA" w:rsidP="00345B51">
            <w:pPr>
              <w:jc w:val="both"/>
            </w:pPr>
          </w:p>
          <w:p w:rsidR="007A3A58" w:rsidRDefault="00D10BEA" w:rsidP="00345B51">
            <w:pPr>
              <w:jc w:val="both"/>
            </w:pPr>
            <w:r>
              <w:t xml:space="preserve">While C.S.H.B. 2928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:rsidR="007A3A58" w:rsidRDefault="00D10BEA" w:rsidP="00345B51">
            <w:pPr>
              <w:jc w:val="both"/>
            </w:pPr>
          </w:p>
          <w:p w:rsidR="007A3A58" w:rsidRDefault="00D10BEA" w:rsidP="00345B51">
            <w:pPr>
              <w:jc w:val="both"/>
            </w:pPr>
            <w:r>
              <w:t xml:space="preserve">The substitute </w:t>
            </w:r>
            <w:r>
              <w:t xml:space="preserve">replaces </w:t>
            </w:r>
            <w:r>
              <w:t>the requirement for the county</w:t>
            </w:r>
            <w:r>
              <w:t xml:space="preserve"> court</w:t>
            </w:r>
            <w:r>
              <w:t xml:space="preserve"> judge</w:t>
            </w:r>
            <w:r>
              <w:t>,</w:t>
            </w:r>
            <w:r>
              <w:t xml:space="preserve"> in </w:t>
            </w:r>
            <w:r>
              <w:t xml:space="preserve">a </w:t>
            </w:r>
            <w:r>
              <w:t xml:space="preserve">contested </w:t>
            </w:r>
            <w:r>
              <w:t>pro</w:t>
            </w:r>
            <w:r>
              <w:t xml:space="preserve">bate </w:t>
            </w:r>
            <w:r>
              <w:t>proceeding</w:t>
            </w:r>
            <w:r>
              <w:t xml:space="preserve"> in which more than one party files a motion </w:t>
            </w:r>
            <w:r w:rsidRPr="00246E86">
              <w:t>to request the assignment of a statutory probate court judge or to transfer the contested matter to the district court</w:t>
            </w:r>
            <w:r>
              <w:t>,</w:t>
            </w:r>
            <w:r>
              <w:t xml:space="preserve"> to </w:t>
            </w:r>
            <w:r>
              <w:t xml:space="preserve">grant the motion that was filed first </w:t>
            </w:r>
            <w:r>
              <w:t xml:space="preserve">with </w:t>
            </w:r>
            <w:r>
              <w:t>an authorization for the judge</w:t>
            </w:r>
            <w:r>
              <w:t xml:space="preserve"> to grant or deny either motion</w:t>
            </w:r>
            <w:r>
              <w:t>,</w:t>
            </w:r>
            <w:r>
              <w:t xml:space="preserve"> with or without a hearing</w:t>
            </w:r>
            <w:r>
              <w:t>,</w:t>
            </w:r>
            <w:r>
              <w:t xml:space="preserve"> as considered appropriate.</w:t>
            </w:r>
          </w:p>
          <w:p w:rsidR="00A202EF" w:rsidRDefault="00D10BEA" w:rsidP="00345B51">
            <w:pPr>
              <w:jc w:val="both"/>
            </w:pPr>
          </w:p>
          <w:p w:rsidR="00A202EF" w:rsidRDefault="00D10BEA" w:rsidP="00345B51">
            <w:pPr>
              <w:jc w:val="both"/>
            </w:pPr>
            <w:r>
              <w:t xml:space="preserve">The substitute removes language </w:t>
            </w:r>
            <w:r>
              <w:t xml:space="preserve">specifying </w:t>
            </w:r>
            <w:r>
              <w:t>on whose motion</w:t>
            </w:r>
            <w:r>
              <w:t xml:space="preserve"> </w:t>
            </w:r>
            <w:r>
              <w:t xml:space="preserve">the county judge </w:t>
            </w:r>
            <w:r>
              <w:t xml:space="preserve">may </w:t>
            </w:r>
            <w:r>
              <w:t>request that a statutory probate court judge be assigned to an entire proceeding.</w:t>
            </w:r>
          </w:p>
          <w:p w:rsidR="00315242" w:rsidRDefault="00D10BEA" w:rsidP="00345B51">
            <w:pPr>
              <w:jc w:val="both"/>
            </w:pPr>
          </w:p>
          <w:p w:rsidR="00315242" w:rsidRDefault="00D10BEA" w:rsidP="00345B51">
            <w:pPr>
              <w:jc w:val="both"/>
            </w:pPr>
            <w:r>
              <w:t>The s</w:t>
            </w:r>
            <w:r>
              <w:t>ubstitute includes a prohibition against a county</w:t>
            </w:r>
            <w:r>
              <w:t xml:space="preserve"> court</w:t>
            </w:r>
            <w:r>
              <w:t xml:space="preserve"> judge granting any relief with respect to a contested matter</w:t>
            </w:r>
            <w:r>
              <w:t xml:space="preserve"> after the filing of an applicable motion</w:t>
            </w:r>
            <w:r>
              <w:t xml:space="preserve">, with </w:t>
            </w:r>
            <w:r>
              <w:t>the exception of injunctive relief needed to maintain the status quo existing before the mat</w:t>
            </w:r>
            <w:r>
              <w:t>ter became contested</w:t>
            </w:r>
            <w:r>
              <w:t>.</w:t>
            </w:r>
          </w:p>
          <w:p w:rsidR="00315242" w:rsidRDefault="00D10BEA" w:rsidP="00345B51">
            <w:pPr>
              <w:jc w:val="both"/>
            </w:pPr>
          </w:p>
          <w:p w:rsidR="00315242" w:rsidRDefault="00D10BEA" w:rsidP="00345B51">
            <w:pPr>
              <w:jc w:val="both"/>
            </w:pPr>
            <w:r>
              <w:t xml:space="preserve">The substitute includes a provision </w:t>
            </w:r>
            <w:r>
              <w:t xml:space="preserve">setting out </w:t>
            </w:r>
            <w:r>
              <w:t xml:space="preserve">the circumstances under which filing </w:t>
            </w:r>
            <w:r>
              <w:t xml:space="preserve">of an applicable motion </w:t>
            </w:r>
            <w:r>
              <w:t xml:space="preserve">is considered timely </w:t>
            </w:r>
            <w:r>
              <w:t>and</w:t>
            </w:r>
            <w:r>
              <w:t xml:space="preserve"> establishing that </w:t>
            </w:r>
            <w:r>
              <w:t xml:space="preserve">such a </w:t>
            </w:r>
            <w:r>
              <w:t>motion may be amended or withdrawn at any time before the judge grants the</w:t>
            </w:r>
            <w:r>
              <w:t xml:space="preserve"> motion.</w:t>
            </w:r>
          </w:p>
          <w:p w:rsidR="00F8482B" w:rsidRDefault="00D10BEA" w:rsidP="00345B51">
            <w:pPr>
              <w:jc w:val="both"/>
            </w:pPr>
          </w:p>
          <w:p w:rsidR="00F8482B" w:rsidRDefault="00D10BEA" w:rsidP="00345B51">
            <w:pPr>
              <w:jc w:val="both"/>
            </w:pPr>
            <w:r>
              <w:t xml:space="preserve">The substitute </w:t>
            </w:r>
            <w:r>
              <w:t>does not include a provision authorizing</w:t>
            </w:r>
            <w:r>
              <w:t xml:space="preserve"> a party to file an applicable motion before a matter in the proceeding becomes contested.</w:t>
            </w:r>
          </w:p>
          <w:p w:rsidR="007A3A58" w:rsidRPr="007A3A58" w:rsidRDefault="00D10BEA" w:rsidP="00345B51">
            <w:pPr>
              <w:jc w:val="both"/>
            </w:pPr>
          </w:p>
        </w:tc>
      </w:tr>
      <w:tr w:rsidR="00FA1F0E" w:rsidTr="00345119">
        <w:tc>
          <w:tcPr>
            <w:tcW w:w="9576" w:type="dxa"/>
          </w:tcPr>
          <w:p w:rsidR="00FE1C8F" w:rsidRPr="009C1E9A" w:rsidRDefault="00D10BEA" w:rsidP="00345B51">
            <w:pPr>
              <w:rPr>
                <w:b/>
                <w:u w:val="single"/>
              </w:rPr>
            </w:pPr>
          </w:p>
        </w:tc>
      </w:tr>
      <w:tr w:rsidR="00FA1F0E" w:rsidTr="00345119">
        <w:tc>
          <w:tcPr>
            <w:tcW w:w="9576" w:type="dxa"/>
          </w:tcPr>
          <w:p w:rsidR="00FE1C8F" w:rsidRPr="00FE1C8F" w:rsidRDefault="00D10BEA" w:rsidP="00345B51">
            <w:pPr>
              <w:jc w:val="both"/>
            </w:pPr>
          </w:p>
        </w:tc>
      </w:tr>
    </w:tbl>
    <w:p w:rsidR="008423E4" w:rsidRPr="00BE0E75" w:rsidRDefault="00D10B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0BE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BEA">
      <w:r>
        <w:separator/>
      </w:r>
    </w:p>
  </w:endnote>
  <w:endnote w:type="continuationSeparator" w:id="0">
    <w:p w:rsidR="00000000" w:rsidRDefault="00D1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1F0E" w:rsidTr="009C1E9A">
      <w:trPr>
        <w:cantSplit/>
      </w:trPr>
      <w:tc>
        <w:tcPr>
          <w:tcW w:w="0" w:type="pct"/>
        </w:tcPr>
        <w:p w:rsidR="00137D90" w:rsidRDefault="00D10B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0B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0B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0B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0B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1F0E" w:rsidTr="009C1E9A">
      <w:trPr>
        <w:cantSplit/>
      </w:trPr>
      <w:tc>
        <w:tcPr>
          <w:tcW w:w="0" w:type="pct"/>
        </w:tcPr>
        <w:p w:rsidR="00EC379B" w:rsidRDefault="00D10B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0B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24416</w:t>
          </w:r>
        </w:p>
      </w:tc>
      <w:tc>
        <w:tcPr>
          <w:tcW w:w="2453" w:type="pct"/>
        </w:tcPr>
        <w:p w:rsidR="00EC379B" w:rsidRDefault="00D10B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19.94.1086</w:t>
          </w:r>
          <w:r>
            <w:fldChar w:fldCharType="end"/>
          </w:r>
        </w:p>
      </w:tc>
    </w:tr>
    <w:tr w:rsidR="00FA1F0E" w:rsidTr="009C1E9A">
      <w:trPr>
        <w:cantSplit/>
      </w:trPr>
      <w:tc>
        <w:tcPr>
          <w:tcW w:w="0" w:type="pct"/>
        </w:tcPr>
        <w:p w:rsidR="00EC379B" w:rsidRDefault="00D10B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0B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20803</w:t>
          </w:r>
        </w:p>
      </w:tc>
      <w:tc>
        <w:tcPr>
          <w:tcW w:w="2453" w:type="pct"/>
        </w:tcPr>
        <w:p w:rsidR="00EC379B" w:rsidRDefault="00D10BEA" w:rsidP="006D504F">
          <w:pPr>
            <w:pStyle w:val="Footer"/>
            <w:rPr>
              <w:rStyle w:val="PageNumber"/>
            </w:rPr>
          </w:pPr>
        </w:p>
        <w:p w:rsidR="00EC379B" w:rsidRDefault="00D10B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1F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0B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10B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0B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BEA">
      <w:r>
        <w:separator/>
      </w:r>
    </w:p>
  </w:footnote>
  <w:footnote w:type="continuationSeparator" w:id="0">
    <w:p w:rsidR="00000000" w:rsidRDefault="00D1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596A"/>
    <w:multiLevelType w:val="hybridMultilevel"/>
    <w:tmpl w:val="F558B620"/>
    <w:lvl w:ilvl="0" w:tplc="AD923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277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6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2B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08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8D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4E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85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4C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E"/>
    <w:rsid w:val="00D10BEA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0FEDFA-1B77-4AB8-8BDA-58CCA42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C7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7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F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7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7FB1"/>
    <w:rPr>
      <w:b/>
      <w:bCs/>
    </w:rPr>
  </w:style>
  <w:style w:type="paragraph" w:styleId="Revision">
    <w:name w:val="Revision"/>
    <w:hidden/>
    <w:uiPriority w:val="99"/>
    <w:semiHidden/>
    <w:rsid w:val="00DC7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4152</Characters>
  <Application>Microsoft Office Word</Application>
  <DocSecurity>4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HB02928 (Committee Report (Substituted))</vt:lpstr>
    </vt:vector>
  </TitlesOfParts>
  <Company>State of Texas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24416</dc:subject>
  <dc:creator>State of Texas</dc:creator>
  <dc:description>HB 2928 by King, Phil-(H)Judiciary &amp; Civil Jurisprudence (Substitute Document Number: 86R 20803)</dc:description>
  <cp:lastModifiedBy>Stacey Nicchio</cp:lastModifiedBy>
  <cp:revision>2</cp:revision>
  <cp:lastPrinted>2003-11-26T17:21:00Z</cp:lastPrinted>
  <dcterms:created xsi:type="dcterms:W3CDTF">2019-04-23T22:25:00Z</dcterms:created>
  <dcterms:modified xsi:type="dcterms:W3CDTF">2019-04-23T22:25:00Z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19.94.1086</vt:lpwstr>
  </property>
</Properties>
</file>