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145A9" w:rsidTr="00345119">
        <w:tc>
          <w:tcPr>
            <w:tcW w:w="9576" w:type="dxa"/>
            <w:noWrap/>
          </w:tcPr>
          <w:p w:rsidR="008423E4" w:rsidRPr="0022177D" w:rsidRDefault="005B451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B451E" w:rsidP="008423E4">
      <w:pPr>
        <w:jc w:val="center"/>
      </w:pPr>
    </w:p>
    <w:p w:rsidR="008423E4" w:rsidRPr="00B31F0E" w:rsidRDefault="005B451E" w:rsidP="008423E4"/>
    <w:p w:rsidR="008423E4" w:rsidRPr="00742794" w:rsidRDefault="005B451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145A9" w:rsidTr="00345119">
        <w:tc>
          <w:tcPr>
            <w:tcW w:w="9576" w:type="dxa"/>
          </w:tcPr>
          <w:p w:rsidR="008423E4" w:rsidRPr="00861995" w:rsidRDefault="005B451E" w:rsidP="00345119">
            <w:pPr>
              <w:jc w:val="right"/>
            </w:pPr>
            <w:r>
              <w:t>H.B. 2953</w:t>
            </w:r>
          </w:p>
        </w:tc>
      </w:tr>
      <w:tr w:rsidR="00B145A9" w:rsidTr="00345119">
        <w:tc>
          <w:tcPr>
            <w:tcW w:w="9576" w:type="dxa"/>
          </w:tcPr>
          <w:p w:rsidR="008423E4" w:rsidRPr="00861995" w:rsidRDefault="005B451E" w:rsidP="00012A80">
            <w:pPr>
              <w:jc w:val="right"/>
            </w:pPr>
            <w:r>
              <w:t xml:space="preserve">By: </w:t>
            </w:r>
            <w:r>
              <w:t>Moody</w:t>
            </w:r>
          </w:p>
        </w:tc>
      </w:tr>
      <w:tr w:rsidR="00B145A9" w:rsidTr="00345119">
        <w:tc>
          <w:tcPr>
            <w:tcW w:w="9576" w:type="dxa"/>
          </w:tcPr>
          <w:p w:rsidR="008423E4" w:rsidRPr="00861995" w:rsidRDefault="005B451E" w:rsidP="00345119">
            <w:pPr>
              <w:jc w:val="right"/>
            </w:pPr>
            <w:r>
              <w:t>Homeland Security &amp; Public Safety</w:t>
            </w:r>
          </w:p>
        </w:tc>
      </w:tr>
      <w:tr w:rsidR="00B145A9" w:rsidTr="00345119">
        <w:tc>
          <w:tcPr>
            <w:tcW w:w="9576" w:type="dxa"/>
          </w:tcPr>
          <w:p w:rsidR="008423E4" w:rsidRDefault="005B451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B451E" w:rsidP="008423E4">
      <w:pPr>
        <w:tabs>
          <w:tab w:val="right" w:pos="9360"/>
        </w:tabs>
      </w:pPr>
    </w:p>
    <w:p w:rsidR="008423E4" w:rsidRDefault="005B451E" w:rsidP="008423E4"/>
    <w:p w:rsidR="008423E4" w:rsidRDefault="005B451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145A9" w:rsidTr="00345119">
        <w:tc>
          <w:tcPr>
            <w:tcW w:w="9576" w:type="dxa"/>
          </w:tcPr>
          <w:p w:rsidR="008423E4" w:rsidRPr="00A8133F" w:rsidRDefault="005B451E" w:rsidP="00B329A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B451E" w:rsidP="00B329A4"/>
          <w:p w:rsidR="008423E4" w:rsidRDefault="005B451E" w:rsidP="00B329A4">
            <w:pPr>
              <w:pStyle w:val="Header"/>
              <w:jc w:val="both"/>
            </w:pPr>
            <w:r>
              <w:t>It has been noted</w:t>
            </w:r>
            <w:r>
              <w:t xml:space="preserve"> that some local governments with limited tax bases are financially unable to appropriately compensate the peace officers that serve them. </w:t>
            </w:r>
            <w:r>
              <w:t>There have been calls for the</w:t>
            </w:r>
            <w:r>
              <w:t xml:space="preserve"> state </w:t>
            </w:r>
            <w:r>
              <w:t xml:space="preserve">to step in </w:t>
            </w:r>
            <w:r>
              <w:t xml:space="preserve">to supplement officer pay in such areas </w:t>
            </w:r>
            <w:r>
              <w:t>in an effort to provide for</w:t>
            </w:r>
            <w:r>
              <w:t xml:space="preserve"> fa</w:t>
            </w:r>
            <w:r>
              <w:t xml:space="preserve">irer compensation, greater officer retention, and higher quality law enforcement work. H.B. 2953 </w:t>
            </w:r>
            <w:r>
              <w:t>seeks to answer those calls by providing for the establishment of</w:t>
            </w:r>
            <w:r>
              <w:t xml:space="preserve"> a grant program to award grants to qualifying local governments </w:t>
            </w:r>
            <w:r>
              <w:t xml:space="preserve">to </w:t>
            </w:r>
            <w:r>
              <w:t>supplement peace officer p</w:t>
            </w:r>
            <w:r>
              <w:t>ay.</w:t>
            </w:r>
            <w:r>
              <w:t xml:space="preserve"> </w:t>
            </w:r>
          </w:p>
          <w:p w:rsidR="008423E4" w:rsidRPr="00E26B13" w:rsidRDefault="005B451E" w:rsidP="00B329A4">
            <w:pPr>
              <w:rPr>
                <w:b/>
              </w:rPr>
            </w:pPr>
          </w:p>
        </w:tc>
      </w:tr>
      <w:tr w:rsidR="00B145A9" w:rsidTr="00345119">
        <w:tc>
          <w:tcPr>
            <w:tcW w:w="9576" w:type="dxa"/>
          </w:tcPr>
          <w:p w:rsidR="0017725B" w:rsidRDefault="005B451E" w:rsidP="00B329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B451E" w:rsidP="00B329A4">
            <w:pPr>
              <w:rPr>
                <w:b/>
                <w:u w:val="single"/>
              </w:rPr>
            </w:pPr>
          </w:p>
          <w:p w:rsidR="00287127" w:rsidRPr="00287127" w:rsidRDefault="005B451E" w:rsidP="00B329A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</w:t>
            </w:r>
            <w:r>
              <w:t xml:space="preserve"> supervision, parole, or mandatory supervision.</w:t>
            </w:r>
          </w:p>
          <w:p w:rsidR="0017725B" w:rsidRPr="0017725B" w:rsidRDefault="005B451E" w:rsidP="00B329A4">
            <w:pPr>
              <w:rPr>
                <w:b/>
                <w:u w:val="single"/>
              </w:rPr>
            </w:pPr>
          </w:p>
        </w:tc>
      </w:tr>
      <w:tr w:rsidR="00B145A9" w:rsidTr="00345119">
        <w:tc>
          <w:tcPr>
            <w:tcW w:w="9576" w:type="dxa"/>
          </w:tcPr>
          <w:p w:rsidR="008423E4" w:rsidRPr="00A8133F" w:rsidRDefault="005B451E" w:rsidP="00B329A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B451E" w:rsidP="00B329A4"/>
          <w:p w:rsidR="00287127" w:rsidRDefault="005B451E" w:rsidP="00B329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governor in SECTION 1 of this bill.</w:t>
            </w:r>
          </w:p>
          <w:p w:rsidR="008423E4" w:rsidRPr="00E21FDC" w:rsidRDefault="005B451E" w:rsidP="00B329A4">
            <w:pPr>
              <w:rPr>
                <w:b/>
              </w:rPr>
            </w:pPr>
          </w:p>
        </w:tc>
      </w:tr>
      <w:tr w:rsidR="00B145A9" w:rsidTr="00345119">
        <w:tc>
          <w:tcPr>
            <w:tcW w:w="9576" w:type="dxa"/>
          </w:tcPr>
          <w:p w:rsidR="008423E4" w:rsidRPr="00A8133F" w:rsidRDefault="005B451E" w:rsidP="00B329A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B451E" w:rsidP="00B329A4"/>
          <w:p w:rsidR="00F500BE" w:rsidRDefault="005B451E" w:rsidP="00B329A4">
            <w:pPr>
              <w:pStyle w:val="Header"/>
              <w:jc w:val="both"/>
            </w:pPr>
            <w:r>
              <w:t xml:space="preserve">H.B. 2953 amends the Government Code to require </w:t>
            </w:r>
            <w:r>
              <w:t>the governor</w:t>
            </w:r>
            <w:r>
              <w:t xml:space="preserve"> </w:t>
            </w:r>
            <w:r w:rsidRPr="00702917">
              <w:t xml:space="preserve">to establish </w:t>
            </w:r>
            <w:r>
              <w:t xml:space="preserve">by rule </w:t>
            </w:r>
            <w:r w:rsidRPr="00702917">
              <w:t xml:space="preserve">a grant program to award grants to </w:t>
            </w:r>
            <w:r w:rsidRPr="00002064">
              <w:t xml:space="preserve">a </w:t>
            </w:r>
            <w:r>
              <w:t xml:space="preserve">qualifying local government </w:t>
            </w:r>
            <w:r>
              <w:t>to</w:t>
            </w:r>
            <w:r w:rsidRPr="00702917">
              <w:t xml:space="preserve"> ensur</w:t>
            </w:r>
            <w:r>
              <w:t>e</w:t>
            </w:r>
            <w:r w:rsidRPr="00702917">
              <w:t xml:space="preserve"> the starting salar</w:t>
            </w:r>
            <w:r>
              <w:t>y</w:t>
            </w:r>
            <w:r w:rsidRPr="00702917">
              <w:t xml:space="preserve"> </w:t>
            </w:r>
            <w:r>
              <w:t>for</w:t>
            </w:r>
            <w:r w:rsidRPr="00702917">
              <w:t xml:space="preserve"> </w:t>
            </w:r>
            <w:r w:rsidRPr="00702917">
              <w:t xml:space="preserve">all peace officers employed by </w:t>
            </w:r>
            <w:r>
              <w:t>the</w:t>
            </w:r>
            <w:r w:rsidRPr="00702917">
              <w:t xml:space="preserve"> qualifying local government is at least $32,500 per year.</w:t>
            </w:r>
            <w:r>
              <w:t xml:space="preserve"> </w:t>
            </w:r>
            <w:r>
              <w:t xml:space="preserve">The bill </w:t>
            </w:r>
            <w:r>
              <w:t>require</w:t>
            </w:r>
            <w:r>
              <w:t>s those</w:t>
            </w:r>
            <w:r>
              <w:t xml:space="preserve"> </w:t>
            </w:r>
            <w:r>
              <w:t xml:space="preserve">rules </w:t>
            </w:r>
            <w:r>
              <w:t>to:</w:t>
            </w:r>
          </w:p>
          <w:p w:rsidR="00F500BE" w:rsidRDefault="005B451E" w:rsidP="00B329A4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provide the maximum taxable value of property that may be located in a county or municipality in order for the county or municipality to be considered a qualifying local government; and</w:t>
            </w:r>
          </w:p>
          <w:p w:rsidR="00F500BE" w:rsidRDefault="005B451E" w:rsidP="00B329A4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prescribe the manner by which a qualifying local government applie</w:t>
            </w:r>
            <w:r>
              <w:t xml:space="preserve">s for a grant and </w:t>
            </w:r>
            <w:r>
              <w:t xml:space="preserve">by which </w:t>
            </w:r>
            <w:r>
              <w:t>grants will be allocated to applicants if the amount of grants for which qualifying local governments have applied exceeds the amount of money available for the grants.</w:t>
            </w:r>
            <w:r>
              <w:t xml:space="preserve"> </w:t>
            </w:r>
          </w:p>
          <w:p w:rsidR="008423E4" w:rsidRDefault="005B451E" w:rsidP="00B329A4">
            <w:pPr>
              <w:pStyle w:val="Header"/>
              <w:jc w:val="both"/>
            </w:pPr>
            <w:r>
              <w:t>The</w:t>
            </w:r>
            <w:r>
              <w:t xml:space="preserve"> </w:t>
            </w:r>
            <w:r>
              <w:t xml:space="preserve">bill </w:t>
            </w:r>
            <w:r>
              <w:t>requires the</w:t>
            </w:r>
            <w:r w:rsidRPr="001C6B0E">
              <w:t xml:space="preserve"> governor </w:t>
            </w:r>
            <w:r>
              <w:t>to</w:t>
            </w:r>
            <w:r w:rsidRPr="001C6B0E">
              <w:t xml:space="preserve"> award grants to qualifyin</w:t>
            </w:r>
            <w:r w:rsidRPr="001C6B0E">
              <w:t>g local governments</w:t>
            </w:r>
            <w:r>
              <w:t xml:space="preserve"> </w:t>
            </w:r>
            <w:r w:rsidRPr="001C6B0E">
              <w:t>from money appropriated t</w:t>
            </w:r>
            <w:r>
              <w:t>o the governor for that purpose</w:t>
            </w:r>
            <w:r>
              <w:t xml:space="preserve"> </w:t>
            </w:r>
            <w:r>
              <w:t xml:space="preserve">except </w:t>
            </w:r>
            <w:r w:rsidRPr="001C6B0E">
              <w:t>during any period for which money is not appropriated for that purpose.</w:t>
            </w:r>
          </w:p>
          <w:p w:rsidR="001C6B0E" w:rsidRDefault="005B451E" w:rsidP="00B329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C6B0E" w:rsidRDefault="005B451E" w:rsidP="00B329A4">
            <w:pPr>
              <w:pStyle w:val="Header"/>
              <w:jc w:val="both"/>
            </w:pPr>
            <w:r>
              <w:t>H.B. 2953 requires the comptroller of public accounts</w:t>
            </w:r>
            <w:r>
              <w:t xml:space="preserve"> </w:t>
            </w:r>
            <w:r>
              <w:t xml:space="preserve">to use existing resources to </w:t>
            </w:r>
            <w:r>
              <w:t xml:space="preserve">conduct a study </w:t>
            </w:r>
            <w:r>
              <w:t>to determine the amount of money needed to fully fund the grant program</w:t>
            </w:r>
            <w:r>
              <w:t xml:space="preserve"> </w:t>
            </w:r>
            <w:r>
              <w:t>established by</w:t>
            </w:r>
            <w:r>
              <w:t xml:space="preserve"> the bill</w:t>
            </w:r>
            <w:r>
              <w:t xml:space="preserve"> for the two-year period beginning September 1, 2021.</w:t>
            </w:r>
            <w:r>
              <w:t xml:space="preserve"> The bill requires the comptroller, n</w:t>
            </w:r>
            <w:r>
              <w:t xml:space="preserve">ot later than January 1, 2021, </w:t>
            </w:r>
            <w:r>
              <w:t xml:space="preserve">to </w:t>
            </w:r>
            <w:r>
              <w:t>submit a report on the study to the g</w:t>
            </w:r>
            <w:r>
              <w:t>overnor, the lieutenant governor, and each member of the legislature</w:t>
            </w:r>
            <w:r>
              <w:t xml:space="preserve"> and authorizes t</w:t>
            </w:r>
            <w:r>
              <w:t xml:space="preserve">he legislature </w:t>
            </w:r>
            <w:r>
              <w:t>to</w:t>
            </w:r>
            <w:r>
              <w:t xml:space="preserve"> consider the report when making appropriations to the governor for the </w:t>
            </w:r>
            <w:r>
              <w:t xml:space="preserve">2022-2023 </w:t>
            </w:r>
            <w:r>
              <w:t>state fiscal biennium.</w:t>
            </w:r>
            <w:r>
              <w:t xml:space="preserve"> </w:t>
            </w:r>
            <w:r>
              <w:t>P</w:t>
            </w:r>
            <w:r>
              <w:t xml:space="preserve">rovisions </w:t>
            </w:r>
            <w:r>
              <w:t xml:space="preserve">relating to the study and report of the comptroller </w:t>
            </w:r>
            <w:r>
              <w:t>take effect September 1, 2019.</w:t>
            </w:r>
          </w:p>
          <w:p w:rsidR="00491E45" w:rsidRPr="001C6B0E" w:rsidRDefault="005B451E" w:rsidP="00B329A4">
            <w:pPr>
              <w:pStyle w:val="Header"/>
              <w:jc w:val="both"/>
            </w:pPr>
          </w:p>
        </w:tc>
      </w:tr>
      <w:tr w:rsidR="00B145A9" w:rsidTr="00345119">
        <w:tc>
          <w:tcPr>
            <w:tcW w:w="9576" w:type="dxa"/>
          </w:tcPr>
          <w:p w:rsidR="008423E4" w:rsidRPr="00A8133F" w:rsidRDefault="005B451E" w:rsidP="00B329A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B451E" w:rsidP="00B329A4"/>
          <w:p w:rsidR="008423E4" w:rsidRPr="003624F2" w:rsidRDefault="005B451E" w:rsidP="00B329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Except as otherwise provided, </w:t>
            </w:r>
            <w:r>
              <w:t>September 1, 2021.</w:t>
            </w:r>
          </w:p>
          <w:p w:rsidR="008423E4" w:rsidRPr="00233FDB" w:rsidRDefault="005B451E" w:rsidP="00B329A4">
            <w:pPr>
              <w:rPr>
                <w:b/>
              </w:rPr>
            </w:pPr>
          </w:p>
        </w:tc>
      </w:tr>
    </w:tbl>
    <w:p w:rsidR="008423E4" w:rsidRPr="00BE0E75" w:rsidRDefault="005B451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B451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B451E">
      <w:r>
        <w:separator/>
      </w:r>
    </w:p>
  </w:endnote>
  <w:endnote w:type="continuationSeparator" w:id="0">
    <w:p w:rsidR="00000000" w:rsidRDefault="005B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45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145A9" w:rsidTr="009C1E9A">
      <w:trPr>
        <w:cantSplit/>
      </w:trPr>
      <w:tc>
        <w:tcPr>
          <w:tcW w:w="0" w:type="pct"/>
        </w:tcPr>
        <w:p w:rsidR="00137D90" w:rsidRDefault="005B45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B451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B451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B45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B45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145A9" w:rsidTr="009C1E9A">
      <w:trPr>
        <w:cantSplit/>
      </w:trPr>
      <w:tc>
        <w:tcPr>
          <w:tcW w:w="0" w:type="pct"/>
        </w:tcPr>
        <w:p w:rsidR="00EC379B" w:rsidRDefault="005B45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B451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25396</w:t>
          </w:r>
        </w:p>
      </w:tc>
      <w:tc>
        <w:tcPr>
          <w:tcW w:w="2453" w:type="pct"/>
        </w:tcPr>
        <w:p w:rsidR="00EC379B" w:rsidRDefault="005B45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19.98.1655</w:t>
          </w:r>
          <w:r>
            <w:fldChar w:fldCharType="end"/>
          </w:r>
        </w:p>
      </w:tc>
    </w:tr>
    <w:tr w:rsidR="00B145A9" w:rsidTr="009C1E9A">
      <w:trPr>
        <w:cantSplit/>
      </w:trPr>
      <w:tc>
        <w:tcPr>
          <w:tcW w:w="0" w:type="pct"/>
        </w:tcPr>
        <w:p w:rsidR="00EC379B" w:rsidRDefault="005B451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B451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B451E" w:rsidP="006D504F">
          <w:pPr>
            <w:pStyle w:val="Footer"/>
            <w:rPr>
              <w:rStyle w:val="PageNumber"/>
            </w:rPr>
          </w:pPr>
        </w:p>
        <w:p w:rsidR="00EC379B" w:rsidRDefault="005B45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145A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B451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5B451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B451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4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B451E">
      <w:r>
        <w:separator/>
      </w:r>
    </w:p>
  </w:footnote>
  <w:footnote w:type="continuationSeparator" w:id="0">
    <w:p w:rsidR="00000000" w:rsidRDefault="005B4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45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D5D80"/>
    <w:multiLevelType w:val="hybridMultilevel"/>
    <w:tmpl w:val="60D6584A"/>
    <w:lvl w:ilvl="0" w:tplc="B11E6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D4CA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38A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5290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E4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8A22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20B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C443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DA6A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6310B"/>
    <w:multiLevelType w:val="hybridMultilevel"/>
    <w:tmpl w:val="6736075E"/>
    <w:lvl w:ilvl="0" w:tplc="42AEA2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CC10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CECE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BE5C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EB9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3635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A2AD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E15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94D9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A9"/>
    <w:rsid w:val="005B451E"/>
    <w:rsid w:val="00B1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08B8C3-9C1F-423A-9125-21D13783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029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29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291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2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2917"/>
    <w:rPr>
      <w:b/>
      <w:bCs/>
    </w:rPr>
  </w:style>
  <w:style w:type="paragraph" w:styleId="Revision">
    <w:name w:val="Revision"/>
    <w:hidden/>
    <w:uiPriority w:val="99"/>
    <w:semiHidden/>
    <w:rsid w:val="002B6203"/>
    <w:rPr>
      <w:sz w:val="24"/>
      <w:szCs w:val="24"/>
    </w:rPr>
  </w:style>
  <w:style w:type="character" w:styleId="Hyperlink">
    <w:name w:val="Hyperlink"/>
    <w:basedOn w:val="DefaultParagraphFont"/>
    <w:unhideWhenUsed/>
    <w:rsid w:val="002B62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618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2347</Characters>
  <Application>Microsoft Office Word</Application>
  <DocSecurity>4</DocSecurity>
  <Lines>60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HB02953 (Committee Report (Unamended))</vt:lpstr>
    </vt:vector>
  </TitlesOfParts>
  <Company>State of Texas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25396</dc:subject>
  <dc:creator>State of Texas</dc:creator>
  <dc:description>HB 2953 by Moody-(H)Homeland Security &amp; Public Safety</dc:description>
  <cp:lastModifiedBy>Scotty Wimberley</cp:lastModifiedBy>
  <cp:revision>2</cp:revision>
  <cp:lastPrinted>2003-11-26T17:21:00Z</cp:lastPrinted>
  <dcterms:created xsi:type="dcterms:W3CDTF">2019-04-28T19:39:00Z</dcterms:created>
  <dcterms:modified xsi:type="dcterms:W3CDTF">2019-04-28T19:39:00Z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19.98.1655</vt:lpwstr>
  </property>
</Properties>
</file>