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1916" w:rsidTr="00345119">
        <w:tc>
          <w:tcPr>
            <w:tcW w:w="9576" w:type="dxa"/>
            <w:noWrap/>
          </w:tcPr>
          <w:p w:rsidR="008423E4" w:rsidRPr="0022177D" w:rsidRDefault="00A14B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4BC6" w:rsidP="008423E4">
      <w:pPr>
        <w:jc w:val="center"/>
      </w:pPr>
    </w:p>
    <w:p w:rsidR="008423E4" w:rsidRPr="00B31F0E" w:rsidRDefault="00A14BC6" w:rsidP="008423E4"/>
    <w:p w:rsidR="008423E4" w:rsidRPr="00742794" w:rsidRDefault="00A14B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1916" w:rsidTr="00345119">
        <w:tc>
          <w:tcPr>
            <w:tcW w:w="9576" w:type="dxa"/>
          </w:tcPr>
          <w:p w:rsidR="008423E4" w:rsidRPr="00861995" w:rsidRDefault="00A14BC6" w:rsidP="00345119">
            <w:pPr>
              <w:jc w:val="right"/>
            </w:pPr>
            <w:r>
              <w:t>C.S.H.B. 2955</w:t>
            </w:r>
          </w:p>
        </w:tc>
      </w:tr>
      <w:tr w:rsidR="00761916" w:rsidTr="00345119">
        <w:tc>
          <w:tcPr>
            <w:tcW w:w="9576" w:type="dxa"/>
          </w:tcPr>
          <w:p w:rsidR="008423E4" w:rsidRPr="00861995" w:rsidRDefault="00A14BC6" w:rsidP="005431D4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761916" w:rsidTr="00345119">
        <w:tc>
          <w:tcPr>
            <w:tcW w:w="9576" w:type="dxa"/>
          </w:tcPr>
          <w:p w:rsidR="008423E4" w:rsidRPr="00861995" w:rsidRDefault="00A14BC6" w:rsidP="00345119">
            <w:pPr>
              <w:jc w:val="right"/>
            </w:pPr>
            <w:r>
              <w:t>Judiciary &amp; Civil Jurisprudence</w:t>
            </w:r>
          </w:p>
        </w:tc>
      </w:tr>
      <w:tr w:rsidR="00761916" w:rsidTr="00345119">
        <w:tc>
          <w:tcPr>
            <w:tcW w:w="9576" w:type="dxa"/>
          </w:tcPr>
          <w:p w:rsidR="008423E4" w:rsidRDefault="00A14BC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14BC6" w:rsidP="008423E4">
      <w:pPr>
        <w:tabs>
          <w:tab w:val="right" w:pos="9360"/>
        </w:tabs>
      </w:pPr>
    </w:p>
    <w:p w:rsidR="008423E4" w:rsidRDefault="00A14BC6" w:rsidP="008423E4"/>
    <w:p w:rsidR="008423E4" w:rsidRDefault="00A14B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1916" w:rsidTr="00345119">
        <w:tc>
          <w:tcPr>
            <w:tcW w:w="9576" w:type="dxa"/>
          </w:tcPr>
          <w:p w:rsidR="008423E4" w:rsidRPr="00A8133F" w:rsidRDefault="00A14BC6" w:rsidP="000A1F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4BC6" w:rsidP="000A1FE5"/>
          <w:p w:rsidR="00D92281" w:rsidRDefault="00A14BC6" w:rsidP="000A1FE5">
            <w:pPr>
              <w:pStyle w:val="Header"/>
              <w:jc w:val="both"/>
            </w:pPr>
            <w:r>
              <w:t xml:space="preserve">There have been calls for coordinated oversight of specialty court programs between the criminal justice division of </w:t>
            </w:r>
            <w:r>
              <w:t>the governor's office, the Office of Court Administration, and the Texas Judicial Council</w:t>
            </w:r>
            <w:r>
              <w:t xml:space="preserve"> to </w:t>
            </w:r>
            <w:r>
              <w:t xml:space="preserve">improve </w:t>
            </w:r>
            <w:r>
              <w:t>these programs</w:t>
            </w:r>
            <w:r>
              <w:t xml:space="preserve"> and their services </w:t>
            </w:r>
            <w:r>
              <w:t xml:space="preserve">based on the expertise </w:t>
            </w:r>
            <w:r>
              <w:t xml:space="preserve">of these entities. </w:t>
            </w:r>
            <w:r>
              <w:t>C.S.</w:t>
            </w:r>
            <w:r>
              <w:t xml:space="preserve">H.B. 2955 seeks to </w:t>
            </w:r>
            <w:r>
              <w:t xml:space="preserve">accomplish this by </w:t>
            </w:r>
            <w:r>
              <w:t xml:space="preserve">revising the oversight and reporting </w:t>
            </w:r>
            <w:r>
              <w:t xml:space="preserve">requirements of the </w:t>
            </w:r>
            <w:r>
              <w:t>specialty court progra</w:t>
            </w:r>
            <w:r>
              <w:t>m</w:t>
            </w:r>
            <w:r>
              <w:t>s</w:t>
            </w:r>
            <w:r>
              <w:t>.</w:t>
            </w:r>
          </w:p>
          <w:p w:rsidR="008423E4" w:rsidRPr="00E26B13" w:rsidRDefault="00A14BC6" w:rsidP="000A1FE5">
            <w:pPr>
              <w:pStyle w:val="Header"/>
              <w:jc w:val="both"/>
              <w:rPr>
                <w:b/>
              </w:rPr>
            </w:pPr>
          </w:p>
        </w:tc>
      </w:tr>
      <w:tr w:rsidR="00761916" w:rsidTr="00345119">
        <w:tc>
          <w:tcPr>
            <w:tcW w:w="9576" w:type="dxa"/>
          </w:tcPr>
          <w:p w:rsidR="0017725B" w:rsidRDefault="00A14BC6" w:rsidP="000A1F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4BC6" w:rsidP="000A1FE5">
            <w:pPr>
              <w:rPr>
                <w:b/>
                <w:u w:val="single"/>
              </w:rPr>
            </w:pPr>
          </w:p>
          <w:p w:rsidR="008A6BBF" w:rsidRPr="008A6BBF" w:rsidRDefault="00A14BC6" w:rsidP="000A1FE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A14BC6" w:rsidP="000A1FE5">
            <w:pPr>
              <w:rPr>
                <w:b/>
                <w:u w:val="single"/>
              </w:rPr>
            </w:pPr>
          </w:p>
        </w:tc>
      </w:tr>
      <w:tr w:rsidR="00761916" w:rsidTr="00345119">
        <w:tc>
          <w:tcPr>
            <w:tcW w:w="9576" w:type="dxa"/>
          </w:tcPr>
          <w:p w:rsidR="008423E4" w:rsidRPr="00A8133F" w:rsidRDefault="00A14BC6" w:rsidP="000A1F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4BC6" w:rsidP="000A1FE5"/>
          <w:p w:rsidR="008A6BBF" w:rsidRDefault="00A14BC6" w:rsidP="000A1F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A14BC6" w:rsidP="000A1FE5">
            <w:pPr>
              <w:rPr>
                <w:b/>
              </w:rPr>
            </w:pPr>
          </w:p>
        </w:tc>
      </w:tr>
      <w:tr w:rsidR="00761916" w:rsidTr="00345119">
        <w:tc>
          <w:tcPr>
            <w:tcW w:w="9576" w:type="dxa"/>
          </w:tcPr>
          <w:p w:rsidR="008423E4" w:rsidRPr="00A8133F" w:rsidRDefault="00A14BC6" w:rsidP="000A1F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4BC6" w:rsidP="000A1FE5"/>
          <w:p w:rsidR="006E2358" w:rsidRDefault="00A14BC6" w:rsidP="000A1F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2955 amends the Government Code to change from the criminal justice division of the governor's office to the Office of Court Administration of the Texas Judicial System (OCA) the </w:t>
            </w:r>
            <w:r>
              <w:t xml:space="preserve">entity </w:t>
            </w:r>
            <w:r>
              <w:t>to which a specialty cou</w:t>
            </w:r>
            <w:r>
              <w:t>rt program</w:t>
            </w:r>
            <w:r>
              <w:t xml:space="preserve"> is required to provide certain notice and documentation</w:t>
            </w:r>
            <w:r>
              <w:t xml:space="preserve"> </w:t>
            </w:r>
            <w:r>
              <w:t xml:space="preserve">to </w:t>
            </w:r>
            <w:r>
              <w:t xml:space="preserve">operate. The bill </w:t>
            </w:r>
            <w:r>
              <w:t xml:space="preserve">requires a specialty court program to report to </w:t>
            </w:r>
            <w:r>
              <w:t xml:space="preserve">the Texas Judicial Council </w:t>
            </w:r>
            <w:r>
              <w:t xml:space="preserve">(TJC) </w:t>
            </w:r>
            <w:r>
              <w:t xml:space="preserve">any information required by </w:t>
            </w:r>
            <w:r>
              <w:t xml:space="preserve">the TJC </w:t>
            </w:r>
            <w:r>
              <w:t xml:space="preserve">regarding the performance of the program. The bill </w:t>
            </w:r>
            <w:r>
              <w:t>requires OCA to</w:t>
            </w:r>
            <w:r>
              <w:t xml:space="preserve"> </w:t>
            </w:r>
            <w:r>
              <w:t xml:space="preserve">take </w:t>
            </w:r>
            <w:r>
              <w:t>the following</w:t>
            </w:r>
            <w:r>
              <w:t xml:space="preserve"> actions</w:t>
            </w:r>
            <w:r>
              <w:t>:</w:t>
            </w:r>
          </w:p>
          <w:p w:rsidR="006E2358" w:rsidRDefault="00A14BC6" w:rsidP="000A1F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 technical assistance to the specialty court programs</w:t>
            </w:r>
            <w:r>
              <w:t xml:space="preserve"> on request</w:t>
            </w:r>
            <w:r>
              <w:t>;</w:t>
            </w:r>
          </w:p>
          <w:p w:rsidR="006E2358" w:rsidRDefault="00A14BC6" w:rsidP="000A1F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coordinate with an entity funded by the division that provides services to specialty court programs;</w:t>
            </w:r>
          </w:p>
          <w:p w:rsidR="006E2358" w:rsidRDefault="00A14BC6" w:rsidP="000A1F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monitor the specialty court programs f</w:t>
            </w:r>
            <w:r>
              <w:t>or compliance with programmatic best practices</w:t>
            </w:r>
            <w:r>
              <w:t xml:space="preserve"> </w:t>
            </w:r>
            <w:r>
              <w:t xml:space="preserve">recommended by the Specialty Courts Advisory Council and approved by the </w:t>
            </w:r>
            <w:r>
              <w:t>TJC</w:t>
            </w:r>
            <w:r>
              <w:t>; and</w:t>
            </w:r>
          </w:p>
          <w:p w:rsidR="006E2358" w:rsidRDefault="00A14BC6" w:rsidP="000A1F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B0E59">
              <w:t xml:space="preserve">notify the division about each specialty court program that is not in compliance with </w:t>
            </w:r>
            <w:r>
              <w:t xml:space="preserve">the </w:t>
            </w:r>
            <w:r>
              <w:t>programmatic best practices.</w:t>
            </w:r>
          </w:p>
          <w:p w:rsidR="00335CD8" w:rsidRDefault="00A14BC6" w:rsidP="000A1F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044DD0" w:rsidRDefault="00A14BC6" w:rsidP="000A1F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</w:t>
            </w:r>
            <w:r>
              <w:t>. 2955</w:t>
            </w:r>
            <w:r>
              <w:t xml:space="preserve"> requires OCA to coordinate with and provide information to the criminal justice division of the governor's office on request of the division.</w:t>
            </w:r>
          </w:p>
          <w:p w:rsidR="008423E4" w:rsidRPr="00835628" w:rsidRDefault="00A14BC6" w:rsidP="000A1FE5">
            <w:pPr>
              <w:rPr>
                <w:b/>
              </w:rPr>
            </w:pPr>
          </w:p>
        </w:tc>
      </w:tr>
      <w:tr w:rsidR="00761916" w:rsidTr="00345119">
        <w:tc>
          <w:tcPr>
            <w:tcW w:w="9576" w:type="dxa"/>
          </w:tcPr>
          <w:p w:rsidR="008423E4" w:rsidRPr="00A8133F" w:rsidRDefault="00A14BC6" w:rsidP="000A1F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4BC6" w:rsidP="000A1FE5"/>
          <w:p w:rsidR="008423E4" w:rsidRPr="003624F2" w:rsidRDefault="00A14BC6" w:rsidP="000A1F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14BC6" w:rsidP="000A1FE5">
            <w:pPr>
              <w:rPr>
                <w:b/>
              </w:rPr>
            </w:pPr>
          </w:p>
        </w:tc>
      </w:tr>
      <w:tr w:rsidR="00761916" w:rsidTr="00345119">
        <w:tc>
          <w:tcPr>
            <w:tcW w:w="9576" w:type="dxa"/>
          </w:tcPr>
          <w:p w:rsidR="005431D4" w:rsidRDefault="00A14BC6" w:rsidP="000A1F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D7268" w:rsidRDefault="00A14BC6" w:rsidP="000A1FE5">
            <w:pPr>
              <w:jc w:val="both"/>
            </w:pPr>
          </w:p>
          <w:p w:rsidR="00FD7268" w:rsidRDefault="00A14BC6" w:rsidP="000A1FE5">
            <w:pPr>
              <w:jc w:val="both"/>
            </w:pPr>
            <w:r>
              <w:t xml:space="preserve">While C.S.H.B. </w:t>
            </w:r>
            <w:r>
              <w:t xml:space="preserve">2955 </w:t>
            </w:r>
            <w:r>
              <w:t xml:space="preserve">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9B0E59" w:rsidRDefault="00A14BC6" w:rsidP="000A1FE5">
            <w:pPr>
              <w:jc w:val="both"/>
            </w:pPr>
          </w:p>
          <w:p w:rsidR="009B0E59" w:rsidRDefault="00A14BC6" w:rsidP="000A1FE5">
            <w:pPr>
              <w:jc w:val="both"/>
            </w:pPr>
            <w:r>
              <w:t xml:space="preserve">The substitute includes provisions requiring OCA to </w:t>
            </w:r>
            <w:r w:rsidRPr="009B0E59">
              <w:t>coordinate with an ent</w:t>
            </w:r>
            <w:r w:rsidRPr="009B0E59">
              <w:t>ity funded by the criminal justice division</w:t>
            </w:r>
            <w:r>
              <w:t xml:space="preserve"> of the governor's office</w:t>
            </w:r>
            <w:r w:rsidRPr="009B0E59">
              <w:t xml:space="preserve"> that provides services to speci</w:t>
            </w:r>
            <w:r>
              <w:t xml:space="preserve">alty court programs and to notify </w:t>
            </w:r>
            <w:r w:rsidRPr="009B0E59">
              <w:t xml:space="preserve">the division </w:t>
            </w:r>
            <w:r>
              <w:t>regarding noncompliant</w:t>
            </w:r>
            <w:r w:rsidRPr="009B0E59">
              <w:t xml:space="preserve"> specialty court program</w:t>
            </w:r>
            <w:r>
              <w:t>s</w:t>
            </w:r>
            <w:r>
              <w:t>.</w:t>
            </w:r>
          </w:p>
          <w:p w:rsidR="00FD7268" w:rsidRPr="00FD7268" w:rsidRDefault="00A14BC6" w:rsidP="000A1FE5">
            <w:pPr>
              <w:jc w:val="both"/>
            </w:pPr>
          </w:p>
        </w:tc>
      </w:tr>
      <w:tr w:rsidR="00761916" w:rsidTr="00345119">
        <w:tc>
          <w:tcPr>
            <w:tcW w:w="9576" w:type="dxa"/>
          </w:tcPr>
          <w:p w:rsidR="005431D4" w:rsidRPr="009C1E9A" w:rsidRDefault="00A14BC6" w:rsidP="000A1FE5">
            <w:pPr>
              <w:rPr>
                <w:b/>
                <w:u w:val="single"/>
              </w:rPr>
            </w:pPr>
          </w:p>
        </w:tc>
      </w:tr>
      <w:tr w:rsidR="00761916" w:rsidTr="00345119">
        <w:tc>
          <w:tcPr>
            <w:tcW w:w="9576" w:type="dxa"/>
          </w:tcPr>
          <w:p w:rsidR="005431D4" w:rsidRPr="005431D4" w:rsidRDefault="00A14BC6" w:rsidP="000A1FE5">
            <w:pPr>
              <w:jc w:val="both"/>
            </w:pPr>
          </w:p>
        </w:tc>
      </w:tr>
    </w:tbl>
    <w:p w:rsidR="008423E4" w:rsidRPr="00BE0E75" w:rsidRDefault="00A14B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4BC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BC6">
      <w:r>
        <w:separator/>
      </w:r>
    </w:p>
  </w:endnote>
  <w:endnote w:type="continuationSeparator" w:id="0">
    <w:p w:rsidR="00000000" w:rsidRDefault="00A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4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1916" w:rsidTr="009C1E9A">
      <w:trPr>
        <w:cantSplit/>
      </w:trPr>
      <w:tc>
        <w:tcPr>
          <w:tcW w:w="0" w:type="pct"/>
        </w:tcPr>
        <w:p w:rsidR="00137D90" w:rsidRDefault="00A14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4B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4B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4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4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1916" w:rsidTr="009C1E9A">
      <w:trPr>
        <w:cantSplit/>
      </w:trPr>
      <w:tc>
        <w:tcPr>
          <w:tcW w:w="0" w:type="pct"/>
        </w:tcPr>
        <w:p w:rsidR="00EC379B" w:rsidRDefault="00A14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4B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22360</w:t>
          </w:r>
        </w:p>
      </w:tc>
      <w:tc>
        <w:tcPr>
          <w:tcW w:w="2453" w:type="pct"/>
        </w:tcPr>
        <w:p w:rsidR="00EC379B" w:rsidRDefault="00A14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19.85.871</w:t>
          </w:r>
          <w:r>
            <w:fldChar w:fldCharType="end"/>
          </w:r>
        </w:p>
      </w:tc>
    </w:tr>
    <w:tr w:rsidR="00761916" w:rsidTr="009C1E9A">
      <w:trPr>
        <w:cantSplit/>
      </w:trPr>
      <w:tc>
        <w:tcPr>
          <w:tcW w:w="0" w:type="pct"/>
        </w:tcPr>
        <w:p w:rsidR="00EC379B" w:rsidRDefault="00A14B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4B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19836</w:t>
          </w:r>
        </w:p>
      </w:tc>
      <w:tc>
        <w:tcPr>
          <w:tcW w:w="2453" w:type="pct"/>
        </w:tcPr>
        <w:p w:rsidR="00EC379B" w:rsidRDefault="00A14BC6" w:rsidP="006D504F">
          <w:pPr>
            <w:pStyle w:val="Footer"/>
            <w:rPr>
              <w:rStyle w:val="PageNumber"/>
            </w:rPr>
          </w:pPr>
        </w:p>
        <w:p w:rsidR="00EC379B" w:rsidRDefault="00A14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19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4B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4B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4B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4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4BC6">
      <w:r>
        <w:separator/>
      </w:r>
    </w:p>
  </w:footnote>
  <w:footnote w:type="continuationSeparator" w:id="0">
    <w:p w:rsidR="00000000" w:rsidRDefault="00A1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4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4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4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0D8"/>
    <w:multiLevelType w:val="hybridMultilevel"/>
    <w:tmpl w:val="B1E4290E"/>
    <w:lvl w:ilvl="0" w:tplc="5FA84C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A0C967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4A8099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D6E7F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4073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AC80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F1ACB5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0F642B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D763A9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6"/>
    <w:rsid w:val="00761916"/>
    <w:rsid w:val="00A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1020B-B0AF-49F4-9E26-A6F0D92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3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3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1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13B"/>
    <w:rPr>
      <w:b/>
      <w:bCs/>
    </w:rPr>
  </w:style>
  <w:style w:type="paragraph" w:styleId="Revision">
    <w:name w:val="Revision"/>
    <w:hidden/>
    <w:uiPriority w:val="99"/>
    <w:semiHidden/>
    <w:rsid w:val="00067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2317</Characters>
  <Application>Microsoft Office Word</Application>
  <DocSecurity>4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HB02955 (Committee Report (Substituted))</vt:lpstr>
    </vt:vector>
  </TitlesOfParts>
  <Company>State of Texas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22360</dc:subject>
  <dc:creator>State of Texas</dc:creator>
  <dc:description>HB 2955 by Price-(H)Judiciary &amp; Civil Jurisprudence (Substitute Document Number: 86R 19836)</dc:description>
  <cp:lastModifiedBy>Stacey Nicchio</cp:lastModifiedBy>
  <cp:revision>2</cp:revision>
  <cp:lastPrinted>2003-11-26T17:21:00Z</cp:lastPrinted>
  <dcterms:created xsi:type="dcterms:W3CDTF">2019-04-11T21:22:00Z</dcterms:created>
  <dcterms:modified xsi:type="dcterms:W3CDTF">2019-04-11T21:22:00Z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19.85.871</vt:lpwstr>
  </property>
</Properties>
</file>