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14AE1" w:rsidTr="00345119">
        <w:tc>
          <w:tcPr>
            <w:tcW w:w="9576" w:type="dxa"/>
            <w:noWrap/>
          </w:tcPr>
          <w:p w:rsidR="008423E4" w:rsidRPr="0022177D" w:rsidRDefault="00D76B4F" w:rsidP="00345119">
            <w:pPr>
              <w:pStyle w:val="Heading1"/>
            </w:pPr>
            <w:bookmarkStart w:id="0" w:name="_GoBack"/>
            <w:bookmarkEnd w:id="0"/>
            <w:r w:rsidRPr="00631897">
              <w:t>BILL ANALYSIS</w:t>
            </w:r>
          </w:p>
        </w:tc>
      </w:tr>
    </w:tbl>
    <w:p w:rsidR="008423E4" w:rsidRPr="0022177D" w:rsidRDefault="00D76B4F" w:rsidP="008423E4">
      <w:pPr>
        <w:jc w:val="center"/>
      </w:pPr>
    </w:p>
    <w:p w:rsidR="008423E4" w:rsidRPr="00B31F0E" w:rsidRDefault="00D76B4F" w:rsidP="008423E4"/>
    <w:p w:rsidR="008423E4" w:rsidRPr="00742794" w:rsidRDefault="00D76B4F" w:rsidP="008423E4">
      <w:pPr>
        <w:tabs>
          <w:tab w:val="right" w:pos="9360"/>
        </w:tabs>
      </w:pPr>
    </w:p>
    <w:tbl>
      <w:tblPr>
        <w:tblW w:w="0" w:type="auto"/>
        <w:tblLayout w:type="fixed"/>
        <w:tblLook w:val="01E0" w:firstRow="1" w:lastRow="1" w:firstColumn="1" w:lastColumn="1" w:noHBand="0" w:noVBand="0"/>
      </w:tblPr>
      <w:tblGrid>
        <w:gridCol w:w="9576"/>
      </w:tblGrid>
      <w:tr w:rsidR="00C14AE1" w:rsidTr="00345119">
        <w:tc>
          <w:tcPr>
            <w:tcW w:w="9576" w:type="dxa"/>
          </w:tcPr>
          <w:p w:rsidR="008423E4" w:rsidRPr="00861995" w:rsidRDefault="00D76B4F" w:rsidP="00345119">
            <w:pPr>
              <w:jc w:val="right"/>
            </w:pPr>
            <w:r>
              <w:t>H.B. 2968</w:t>
            </w:r>
          </w:p>
        </w:tc>
      </w:tr>
      <w:tr w:rsidR="00C14AE1" w:rsidTr="00345119">
        <w:tc>
          <w:tcPr>
            <w:tcW w:w="9576" w:type="dxa"/>
          </w:tcPr>
          <w:p w:rsidR="008423E4" w:rsidRPr="00861995" w:rsidRDefault="00D76B4F" w:rsidP="00FF2F03">
            <w:pPr>
              <w:jc w:val="right"/>
            </w:pPr>
            <w:r>
              <w:t xml:space="preserve">By: </w:t>
            </w:r>
            <w:r>
              <w:t>Frullo</w:t>
            </w:r>
          </w:p>
        </w:tc>
      </w:tr>
      <w:tr w:rsidR="00C14AE1" w:rsidTr="00345119">
        <w:tc>
          <w:tcPr>
            <w:tcW w:w="9576" w:type="dxa"/>
          </w:tcPr>
          <w:p w:rsidR="008423E4" w:rsidRPr="00861995" w:rsidRDefault="00D76B4F" w:rsidP="00345119">
            <w:pPr>
              <w:jc w:val="right"/>
            </w:pPr>
            <w:r>
              <w:t>Higher Education</w:t>
            </w:r>
          </w:p>
        </w:tc>
      </w:tr>
      <w:tr w:rsidR="00C14AE1" w:rsidTr="00345119">
        <w:tc>
          <w:tcPr>
            <w:tcW w:w="9576" w:type="dxa"/>
          </w:tcPr>
          <w:p w:rsidR="008423E4" w:rsidRDefault="00D76B4F" w:rsidP="00345119">
            <w:pPr>
              <w:jc w:val="right"/>
            </w:pPr>
            <w:r>
              <w:t>Committee Report (Unamended)</w:t>
            </w:r>
          </w:p>
        </w:tc>
      </w:tr>
    </w:tbl>
    <w:p w:rsidR="008423E4" w:rsidRDefault="00D76B4F" w:rsidP="008423E4">
      <w:pPr>
        <w:tabs>
          <w:tab w:val="right" w:pos="9360"/>
        </w:tabs>
      </w:pPr>
    </w:p>
    <w:p w:rsidR="008423E4" w:rsidRDefault="00D76B4F" w:rsidP="008423E4"/>
    <w:p w:rsidR="008423E4" w:rsidRDefault="00D76B4F" w:rsidP="008423E4"/>
    <w:tbl>
      <w:tblPr>
        <w:tblW w:w="0" w:type="auto"/>
        <w:tblCellMar>
          <w:left w:w="115" w:type="dxa"/>
          <w:right w:w="115" w:type="dxa"/>
        </w:tblCellMar>
        <w:tblLook w:val="01E0" w:firstRow="1" w:lastRow="1" w:firstColumn="1" w:lastColumn="1" w:noHBand="0" w:noVBand="0"/>
      </w:tblPr>
      <w:tblGrid>
        <w:gridCol w:w="9576"/>
      </w:tblGrid>
      <w:tr w:rsidR="00C14AE1" w:rsidTr="00345119">
        <w:tc>
          <w:tcPr>
            <w:tcW w:w="9576" w:type="dxa"/>
          </w:tcPr>
          <w:p w:rsidR="008423E4" w:rsidRPr="00A8133F" w:rsidRDefault="00D76B4F" w:rsidP="00E84C72">
            <w:pPr>
              <w:rPr>
                <w:b/>
              </w:rPr>
            </w:pPr>
            <w:r w:rsidRPr="009C1E9A">
              <w:rPr>
                <w:b/>
                <w:u w:val="single"/>
              </w:rPr>
              <w:t>BACKGROUND AND PURPOSE</w:t>
            </w:r>
            <w:r>
              <w:rPr>
                <w:b/>
              </w:rPr>
              <w:t xml:space="preserve"> </w:t>
            </w:r>
          </w:p>
          <w:p w:rsidR="008423E4" w:rsidRDefault="00D76B4F" w:rsidP="00E84C72"/>
          <w:p w:rsidR="008423E4" w:rsidRDefault="00D76B4F" w:rsidP="00E84C72">
            <w:pPr>
              <w:pStyle w:val="Header"/>
              <w:jc w:val="both"/>
            </w:pPr>
            <w:r>
              <w:t xml:space="preserve">There are concerns about future availability of funding for the </w:t>
            </w:r>
            <w:r>
              <w:t xml:space="preserve">Texas Higher Education Coordinating </w:t>
            </w:r>
            <w:r>
              <w:t xml:space="preserve">Board's </w:t>
            </w:r>
            <w:r>
              <w:t>student loan program</w:t>
            </w:r>
            <w:r>
              <w:t xml:space="preserve"> due to </w:t>
            </w:r>
            <w:r>
              <w:t xml:space="preserve">certain annual </w:t>
            </w:r>
            <w:r>
              <w:t xml:space="preserve">limits </w:t>
            </w:r>
            <w:r>
              <w:t>on the issuance of bonds.</w:t>
            </w:r>
            <w:r>
              <w:t xml:space="preserve"> H</w:t>
            </w:r>
            <w:r>
              <w:t>.</w:t>
            </w:r>
            <w:r>
              <w:t>B</w:t>
            </w:r>
            <w:r>
              <w:t>.</w:t>
            </w:r>
            <w:r>
              <w:t xml:space="preserve"> 2968 </w:t>
            </w:r>
            <w:r>
              <w:t xml:space="preserve">seeks to address these concerns by </w:t>
            </w:r>
            <w:r>
              <w:t>increas</w:t>
            </w:r>
            <w:r>
              <w:t>ing</w:t>
            </w:r>
            <w:r>
              <w:t xml:space="preserve"> the </w:t>
            </w:r>
            <w:r>
              <w:t xml:space="preserve">coordinating board's </w:t>
            </w:r>
            <w:r>
              <w:t>bonding authority.</w:t>
            </w:r>
          </w:p>
          <w:p w:rsidR="008423E4" w:rsidRPr="00E26B13" w:rsidRDefault="00D76B4F" w:rsidP="00E84C72">
            <w:pPr>
              <w:rPr>
                <w:b/>
              </w:rPr>
            </w:pPr>
          </w:p>
        </w:tc>
      </w:tr>
      <w:tr w:rsidR="00C14AE1" w:rsidTr="00345119">
        <w:tc>
          <w:tcPr>
            <w:tcW w:w="9576" w:type="dxa"/>
          </w:tcPr>
          <w:p w:rsidR="0017725B" w:rsidRDefault="00D76B4F" w:rsidP="00E84C72">
            <w:pPr>
              <w:rPr>
                <w:b/>
                <w:u w:val="single"/>
              </w:rPr>
            </w:pPr>
            <w:r>
              <w:rPr>
                <w:b/>
                <w:u w:val="single"/>
              </w:rPr>
              <w:t>CRIMINAL JUSTICE IMPACT</w:t>
            </w:r>
          </w:p>
          <w:p w:rsidR="0017725B" w:rsidRDefault="00D76B4F" w:rsidP="00E84C72">
            <w:pPr>
              <w:rPr>
                <w:b/>
                <w:u w:val="single"/>
              </w:rPr>
            </w:pPr>
          </w:p>
          <w:p w:rsidR="007C0E44" w:rsidRPr="007C0E44" w:rsidRDefault="00D76B4F" w:rsidP="00E84C72">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D76B4F" w:rsidP="00E84C72">
            <w:pPr>
              <w:rPr>
                <w:b/>
                <w:u w:val="single"/>
              </w:rPr>
            </w:pPr>
          </w:p>
        </w:tc>
      </w:tr>
      <w:tr w:rsidR="00C14AE1" w:rsidTr="00345119">
        <w:tc>
          <w:tcPr>
            <w:tcW w:w="9576" w:type="dxa"/>
          </w:tcPr>
          <w:p w:rsidR="008423E4" w:rsidRPr="00A8133F" w:rsidRDefault="00D76B4F" w:rsidP="00E84C72">
            <w:pPr>
              <w:rPr>
                <w:b/>
              </w:rPr>
            </w:pPr>
            <w:r w:rsidRPr="009C1E9A">
              <w:rPr>
                <w:b/>
                <w:u w:val="single"/>
              </w:rPr>
              <w:t>RULEMAKING AUTHORITY</w:t>
            </w:r>
            <w:r>
              <w:rPr>
                <w:b/>
              </w:rPr>
              <w:t xml:space="preserve"> </w:t>
            </w:r>
          </w:p>
          <w:p w:rsidR="008423E4" w:rsidRDefault="00D76B4F" w:rsidP="00E84C72"/>
          <w:p w:rsidR="007C0E44" w:rsidRDefault="00D76B4F" w:rsidP="00E84C72">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D76B4F" w:rsidP="00E84C72">
            <w:pPr>
              <w:rPr>
                <w:b/>
              </w:rPr>
            </w:pPr>
          </w:p>
        </w:tc>
      </w:tr>
      <w:tr w:rsidR="00C14AE1" w:rsidTr="00345119">
        <w:tc>
          <w:tcPr>
            <w:tcW w:w="9576" w:type="dxa"/>
          </w:tcPr>
          <w:p w:rsidR="008423E4" w:rsidRPr="00A8133F" w:rsidRDefault="00D76B4F" w:rsidP="00E84C72">
            <w:pPr>
              <w:rPr>
                <w:b/>
              </w:rPr>
            </w:pPr>
            <w:r w:rsidRPr="009C1E9A">
              <w:rPr>
                <w:b/>
                <w:u w:val="single"/>
              </w:rPr>
              <w:t>ANALYSIS</w:t>
            </w:r>
            <w:r>
              <w:rPr>
                <w:b/>
              </w:rPr>
              <w:t xml:space="preserve"> </w:t>
            </w:r>
          </w:p>
          <w:p w:rsidR="008423E4" w:rsidRDefault="00D76B4F" w:rsidP="00E84C72"/>
          <w:p w:rsidR="00D1430D" w:rsidRDefault="00D76B4F" w:rsidP="00E84C72">
            <w:pPr>
              <w:pStyle w:val="Header"/>
              <w:tabs>
                <w:tab w:val="clear" w:pos="4320"/>
                <w:tab w:val="clear" w:pos="8640"/>
              </w:tabs>
              <w:jc w:val="both"/>
            </w:pPr>
            <w:r>
              <w:t>H.B. 2968</w:t>
            </w:r>
            <w:r>
              <w:t xml:space="preserve"> </w:t>
            </w:r>
            <w:r>
              <w:t xml:space="preserve">amends the Government Code to </w:t>
            </w:r>
            <w:r>
              <w:t xml:space="preserve">increase </w:t>
            </w:r>
            <w:r>
              <w:t>from $50 million to $100 million</w:t>
            </w:r>
            <w:r>
              <w:t xml:space="preserve"> the cap on the </w:t>
            </w:r>
            <w:r>
              <w:t xml:space="preserve">amount </w:t>
            </w:r>
            <w:r>
              <w:t xml:space="preserve">of </w:t>
            </w:r>
            <w:r>
              <w:t xml:space="preserve">a reservation </w:t>
            </w:r>
            <w:r>
              <w:t xml:space="preserve">of a portion of </w:t>
            </w:r>
            <w:r>
              <w:t>the ceiling on state debt</w:t>
            </w:r>
            <w:r>
              <w:t xml:space="preserve"> </w:t>
            </w:r>
            <w:r>
              <w:t xml:space="preserve">that may be granted by </w:t>
            </w:r>
            <w:r>
              <w:t xml:space="preserve">the </w:t>
            </w:r>
            <w:r>
              <w:t>Bond Review Board</w:t>
            </w:r>
            <w:r>
              <w:t xml:space="preserve"> </w:t>
            </w:r>
            <w:r>
              <w:t xml:space="preserve">before August 15 </w:t>
            </w:r>
            <w:r>
              <w:t xml:space="preserve">for any single project </w:t>
            </w:r>
            <w:r>
              <w:t>in a</w:t>
            </w:r>
            <w:r>
              <w:t xml:space="preserve"> year </w:t>
            </w:r>
            <w:r>
              <w:t>if the issuer is</w:t>
            </w:r>
            <w:r>
              <w:t xml:space="preserve"> an</w:t>
            </w:r>
            <w:r>
              <w:t xml:space="preserve"> issuer of a state-voted issue </w:t>
            </w:r>
            <w:r>
              <w:t xml:space="preserve">of bonds </w:t>
            </w:r>
            <w:r>
              <w:t>other than the Texas Higher Education Coordinating Board</w:t>
            </w:r>
            <w:r>
              <w:t>. Th</w:t>
            </w:r>
            <w:r>
              <w:t xml:space="preserve">e bill increases the cap </w:t>
            </w:r>
            <w:r>
              <w:t>from $75 million to $200 million if the i</w:t>
            </w:r>
            <w:r>
              <w:t xml:space="preserve">ssuer is the coordinating board. </w:t>
            </w:r>
            <w:r>
              <w:t xml:space="preserve">The bill raises the cap </w:t>
            </w:r>
            <w:r>
              <w:t xml:space="preserve">from eight percent to 10 percent </w:t>
            </w:r>
            <w:r>
              <w:t xml:space="preserve">of the </w:t>
            </w:r>
            <w:r>
              <w:t>state ceiling that may be removed from availability to issuers that are not issuers of state-</w:t>
            </w:r>
            <w:r>
              <w:t xml:space="preserve">voted issues if applications </w:t>
            </w:r>
            <w:r>
              <w:t xml:space="preserve">to reserve a portion of the state ceiling </w:t>
            </w:r>
            <w:r>
              <w:t xml:space="preserve">for state-voted issues </w:t>
            </w:r>
            <w:r>
              <w:t>total a</w:t>
            </w:r>
            <w:r>
              <w:t xml:space="preserve"> certain percentage before January 2. </w:t>
            </w:r>
            <w:r>
              <w:t>The bill extends the deadline by which an issuer of state-voted issues or an issuer of qualified mortgage revenue bon</w:t>
            </w:r>
            <w:r>
              <w:t>ds is required to close on the bonds for which the reservation was granted from not later than the 180th day after the reservation date to not later than the 240th day after the reservation date.</w:t>
            </w:r>
          </w:p>
          <w:p w:rsidR="008423E4" w:rsidRPr="00835628" w:rsidRDefault="00D76B4F" w:rsidP="00E84C72">
            <w:pPr>
              <w:rPr>
                <w:b/>
              </w:rPr>
            </w:pPr>
          </w:p>
        </w:tc>
      </w:tr>
      <w:tr w:rsidR="00C14AE1" w:rsidTr="00345119">
        <w:tc>
          <w:tcPr>
            <w:tcW w:w="9576" w:type="dxa"/>
          </w:tcPr>
          <w:p w:rsidR="008423E4" w:rsidRPr="00A8133F" w:rsidRDefault="00D76B4F" w:rsidP="00E84C72">
            <w:pPr>
              <w:rPr>
                <w:b/>
              </w:rPr>
            </w:pPr>
            <w:r w:rsidRPr="009C1E9A">
              <w:rPr>
                <w:b/>
                <w:u w:val="single"/>
              </w:rPr>
              <w:t>EFFECTIVE DATE</w:t>
            </w:r>
            <w:r>
              <w:rPr>
                <w:b/>
              </w:rPr>
              <w:t xml:space="preserve"> </w:t>
            </w:r>
          </w:p>
          <w:p w:rsidR="008423E4" w:rsidRDefault="00D76B4F" w:rsidP="00E84C72"/>
          <w:p w:rsidR="008423E4" w:rsidRPr="003624F2" w:rsidRDefault="00D76B4F" w:rsidP="00E84C72">
            <w:pPr>
              <w:pStyle w:val="Header"/>
              <w:tabs>
                <w:tab w:val="clear" w:pos="4320"/>
                <w:tab w:val="clear" w:pos="8640"/>
              </w:tabs>
              <w:jc w:val="both"/>
            </w:pPr>
            <w:r>
              <w:t>September 1, 2019.</w:t>
            </w:r>
          </w:p>
          <w:p w:rsidR="008423E4" w:rsidRPr="00233FDB" w:rsidRDefault="00D76B4F" w:rsidP="00E84C72">
            <w:pPr>
              <w:rPr>
                <w:b/>
              </w:rPr>
            </w:pPr>
          </w:p>
        </w:tc>
      </w:tr>
    </w:tbl>
    <w:p w:rsidR="008423E4" w:rsidRPr="00BE0E75" w:rsidRDefault="00D76B4F" w:rsidP="008423E4">
      <w:pPr>
        <w:spacing w:line="480" w:lineRule="auto"/>
        <w:jc w:val="both"/>
        <w:rPr>
          <w:rFonts w:ascii="Arial" w:hAnsi="Arial"/>
          <w:sz w:val="16"/>
          <w:szCs w:val="16"/>
        </w:rPr>
      </w:pPr>
    </w:p>
    <w:p w:rsidR="004108C3" w:rsidRPr="008423E4" w:rsidRDefault="00D76B4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6B4F">
      <w:r>
        <w:separator/>
      </w:r>
    </w:p>
  </w:endnote>
  <w:endnote w:type="continuationSeparator" w:id="0">
    <w:p w:rsidR="00000000" w:rsidRDefault="00D7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14AE1" w:rsidTr="009C1E9A">
      <w:trPr>
        <w:cantSplit/>
      </w:trPr>
      <w:tc>
        <w:tcPr>
          <w:tcW w:w="0" w:type="pct"/>
        </w:tcPr>
        <w:p w:rsidR="00137D90" w:rsidRDefault="00D76B4F" w:rsidP="009C1E9A">
          <w:pPr>
            <w:pStyle w:val="Footer"/>
            <w:tabs>
              <w:tab w:val="clear" w:pos="8640"/>
              <w:tab w:val="right" w:pos="9360"/>
            </w:tabs>
          </w:pPr>
        </w:p>
      </w:tc>
      <w:tc>
        <w:tcPr>
          <w:tcW w:w="2395" w:type="pct"/>
        </w:tcPr>
        <w:p w:rsidR="00137D90" w:rsidRDefault="00D76B4F" w:rsidP="009C1E9A">
          <w:pPr>
            <w:pStyle w:val="Footer"/>
            <w:tabs>
              <w:tab w:val="clear" w:pos="8640"/>
              <w:tab w:val="right" w:pos="9360"/>
            </w:tabs>
          </w:pPr>
        </w:p>
        <w:p w:rsidR="001A4310" w:rsidRDefault="00D76B4F" w:rsidP="009C1E9A">
          <w:pPr>
            <w:pStyle w:val="Footer"/>
            <w:tabs>
              <w:tab w:val="clear" w:pos="8640"/>
              <w:tab w:val="right" w:pos="9360"/>
            </w:tabs>
          </w:pPr>
        </w:p>
        <w:p w:rsidR="00137D90" w:rsidRDefault="00D76B4F" w:rsidP="009C1E9A">
          <w:pPr>
            <w:pStyle w:val="Footer"/>
            <w:tabs>
              <w:tab w:val="clear" w:pos="8640"/>
              <w:tab w:val="right" w:pos="9360"/>
            </w:tabs>
          </w:pPr>
        </w:p>
      </w:tc>
      <w:tc>
        <w:tcPr>
          <w:tcW w:w="2453" w:type="pct"/>
        </w:tcPr>
        <w:p w:rsidR="00137D90" w:rsidRDefault="00D76B4F" w:rsidP="009C1E9A">
          <w:pPr>
            <w:pStyle w:val="Footer"/>
            <w:tabs>
              <w:tab w:val="clear" w:pos="8640"/>
              <w:tab w:val="right" w:pos="9360"/>
            </w:tabs>
            <w:jc w:val="right"/>
          </w:pPr>
        </w:p>
      </w:tc>
    </w:tr>
    <w:tr w:rsidR="00C14AE1" w:rsidTr="009C1E9A">
      <w:trPr>
        <w:cantSplit/>
      </w:trPr>
      <w:tc>
        <w:tcPr>
          <w:tcW w:w="0" w:type="pct"/>
        </w:tcPr>
        <w:p w:rsidR="00EC379B" w:rsidRDefault="00D76B4F" w:rsidP="009C1E9A">
          <w:pPr>
            <w:pStyle w:val="Footer"/>
            <w:tabs>
              <w:tab w:val="clear" w:pos="8640"/>
              <w:tab w:val="right" w:pos="9360"/>
            </w:tabs>
          </w:pPr>
        </w:p>
      </w:tc>
      <w:tc>
        <w:tcPr>
          <w:tcW w:w="2395" w:type="pct"/>
        </w:tcPr>
        <w:p w:rsidR="00EC379B" w:rsidRPr="009C1E9A" w:rsidRDefault="00D76B4F" w:rsidP="009C1E9A">
          <w:pPr>
            <w:pStyle w:val="Footer"/>
            <w:tabs>
              <w:tab w:val="clear" w:pos="8640"/>
              <w:tab w:val="right" w:pos="9360"/>
            </w:tabs>
            <w:rPr>
              <w:rFonts w:ascii="Shruti" w:hAnsi="Shruti"/>
              <w:sz w:val="22"/>
            </w:rPr>
          </w:pPr>
          <w:r>
            <w:rPr>
              <w:rFonts w:ascii="Shruti" w:hAnsi="Shruti"/>
              <w:sz w:val="22"/>
            </w:rPr>
            <w:t>86R 20204</w:t>
          </w:r>
        </w:p>
      </w:tc>
      <w:tc>
        <w:tcPr>
          <w:tcW w:w="2453" w:type="pct"/>
        </w:tcPr>
        <w:p w:rsidR="00EC379B" w:rsidRDefault="00D76B4F" w:rsidP="009C1E9A">
          <w:pPr>
            <w:pStyle w:val="Footer"/>
            <w:tabs>
              <w:tab w:val="clear" w:pos="8640"/>
              <w:tab w:val="right" w:pos="9360"/>
            </w:tabs>
            <w:jc w:val="right"/>
          </w:pPr>
          <w:r>
            <w:fldChar w:fldCharType="begin"/>
          </w:r>
          <w:r>
            <w:instrText xml:space="preserve"> DOCPROPERTY  OTID  \* MERGEFORMAT </w:instrText>
          </w:r>
          <w:r>
            <w:fldChar w:fldCharType="separate"/>
          </w:r>
          <w:r>
            <w:t>19.76.58</w:t>
          </w:r>
          <w:r>
            <w:fldChar w:fldCharType="end"/>
          </w:r>
        </w:p>
      </w:tc>
    </w:tr>
    <w:tr w:rsidR="00C14AE1" w:rsidTr="009C1E9A">
      <w:trPr>
        <w:cantSplit/>
      </w:trPr>
      <w:tc>
        <w:tcPr>
          <w:tcW w:w="0" w:type="pct"/>
        </w:tcPr>
        <w:p w:rsidR="00EC379B" w:rsidRDefault="00D76B4F" w:rsidP="009C1E9A">
          <w:pPr>
            <w:pStyle w:val="Footer"/>
            <w:tabs>
              <w:tab w:val="clear" w:pos="4320"/>
              <w:tab w:val="clear" w:pos="8640"/>
              <w:tab w:val="left" w:pos="2865"/>
            </w:tabs>
          </w:pPr>
        </w:p>
      </w:tc>
      <w:tc>
        <w:tcPr>
          <w:tcW w:w="2395" w:type="pct"/>
        </w:tcPr>
        <w:p w:rsidR="00EC379B" w:rsidRPr="009C1E9A" w:rsidRDefault="00D76B4F" w:rsidP="009C1E9A">
          <w:pPr>
            <w:pStyle w:val="Footer"/>
            <w:tabs>
              <w:tab w:val="clear" w:pos="4320"/>
              <w:tab w:val="clear" w:pos="8640"/>
              <w:tab w:val="left" w:pos="2865"/>
            </w:tabs>
            <w:rPr>
              <w:rFonts w:ascii="Shruti" w:hAnsi="Shruti"/>
              <w:sz w:val="22"/>
            </w:rPr>
          </w:pPr>
        </w:p>
      </w:tc>
      <w:tc>
        <w:tcPr>
          <w:tcW w:w="2453" w:type="pct"/>
        </w:tcPr>
        <w:p w:rsidR="00EC379B" w:rsidRDefault="00D76B4F" w:rsidP="006D504F">
          <w:pPr>
            <w:pStyle w:val="Footer"/>
            <w:rPr>
              <w:rStyle w:val="PageNumber"/>
            </w:rPr>
          </w:pPr>
        </w:p>
        <w:p w:rsidR="00EC379B" w:rsidRDefault="00D76B4F" w:rsidP="009C1E9A">
          <w:pPr>
            <w:pStyle w:val="Footer"/>
            <w:tabs>
              <w:tab w:val="clear" w:pos="8640"/>
              <w:tab w:val="right" w:pos="9360"/>
            </w:tabs>
            <w:jc w:val="right"/>
          </w:pPr>
        </w:p>
      </w:tc>
    </w:tr>
    <w:tr w:rsidR="00C14AE1" w:rsidTr="009C1E9A">
      <w:trPr>
        <w:cantSplit/>
        <w:trHeight w:val="323"/>
      </w:trPr>
      <w:tc>
        <w:tcPr>
          <w:tcW w:w="0" w:type="pct"/>
          <w:gridSpan w:val="3"/>
        </w:tcPr>
        <w:p w:rsidR="00EC379B" w:rsidRDefault="00D76B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76B4F" w:rsidP="009C1E9A">
          <w:pPr>
            <w:pStyle w:val="Footer"/>
            <w:tabs>
              <w:tab w:val="clear" w:pos="8640"/>
              <w:tab w:val="right" w:pos="9360"/>
            </w:tabs>
            <w:jc w:val="center"/>
          </w:pPr>
        </w:p>
      </w:tc>
    </w:tr>
  </w:tbl>
  <w:p w:rsidR="00EC379B" w:rsidRPr="00FF6F72" w:rsidRDefault="00D76B4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6B4F">
      <w:r>
        <w:separator/>
      </w:r>
    </w:p>
  </w:footnote>
  <w:footnote w:type="continuationSeparator" w:id="0">
    <w:p w:rsidR="00000000" w:rsidRDefault="00D7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6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6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6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E1"/>
    <w:rsid w:val="00C14AE1"/>
    <w:rsid w:val="00D7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2592F2-3C67-4A92-A6A5-2580112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44A01"/>
    <w:rPr>
      <w:sz w:val="16"/>
      <w:szCs w:val="16"/>
    </w:rPr>
  </w:style>
  <w:style w:type="paragraph" w:styleId="CommentText">
    <w:name w:val="annotation text"/>
    <w:basedOn w:val="Normal"/>
    <w:link w:val="CommentTextChar"/>
    <w:semiHidden/>
    <w:unhideWhenUsed/>
    <w:rsid w:val="00444A01"/>
    <w:rPr>
      <w:sz w:val="20"/>
      <w:szCs w:val="20"/>
    </w:rPr>
  </w:style>
  <w:style w:type="character" w:customStyle="1" w:styleId="CommentTextChar">
    <w:name w:val="Comment Text Char"/>
    <w:basedOn w:val="DefaultParagraphFont"/>
    <w:link w:val="CommentText"/>
    <w:semiHidden/>
    <w:rsid w:val="00444A01"/>
  </w:style>
  <w:style w:type="paragraph" w:styleId="CommentSubject">
    <w:name w:val="annotation subject"/>
    <w:basedOn w:val="CommentText"/>
    <w:next w:val="CommentText"/>
    <w:link w:val="CommentSubjectChar"/>
    <w:semiHidden/>
    <w:unhideWhenUsed/>
    <w:rsid w:val="00444A01"/>
    <w:rPr>
      <w:b/>
      <w:bCs/>
    </w:rPr>
  </w:style>
  <w:style w:type="character" w:customStyle="1" w:styleId="CommentSubjectChar">
    <w:name w:val="Comment Subject Char"/>
    <w:basedOn w:val="CommentTextChar"/>
    <w:link w:val="CommentSubject"/>
    <w:semiHidden/>
    <w:rsid w:val="00444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1670</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HB02968 (Committee Report (Unamended))</vt:lpstr>
    </vt:vector>
  </TitlesOfParts>
  <Company>State of Texas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20204</dc:subject>
  <dc:creator>State of Texas</dc:creator>
  <dc:description>HB 2968 by Frullo-(H)Higher Education</dc:description>
  <cp:lastModifiedBy>Scotty Wimberley</cp:lastModifiedBy>
  <cp:revision>2</cp:revision>
  <cp:lastPrinted>2003-11-26T17:21:00Z</cp:lastPrinted>
  <dcterms:created xsi:type="dcterms:W3CDTF">2019-03-26T22:43:00Z</dcterms:created>
  <dcterms:modified xsi:type="dcterms:W3CDTF">2019-03-26T22:43:00Z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19.76.58</vt:lpwstr>
  </property>
</Properties>
</file>