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685B" w:rsidTr="00345119">
        <w:tc>
          <w:tcPr>
            <w:tcW w:w="9576" w:type="dxa"/>
            <w:noWrap/>
          </w:tcPr>
          <w:p w:rsidR="008423E4" w:rsidRPr="0022177D" w:rsidRDefault="003526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2620" w:rsidP="008423E4">
      <w:pPr>
        <w:jc w:val="center"/>
      </w:pPr>
    </w:p>
    <w:p w:rsidR="008423E4" w:rsidRPr="00B31F0E" w:rsidRDefault="00352620" w:rsidP="008423E4"/>
    <w:p w:rsidR="008423E4" w:rsidRPr="00742794" w:rsidRDefault="003526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685B" w:rsidTr="00345119">
        <w:tc>
          <w:tcPr>
            <w:tcW w:w="9576" w:type="dxa"/>
          </w:tcPr>
          <w:p w:rsidR="008423E4" w:rsidRPr="00861995" w:rsidRDefault="00352620" w:rsidP="00345119">
            <w:pPr>
              <w:jc w:val="right"/>
            </w:pPr>
            <w:r>
              <w:t>C.S.H.B. 2980</w:t>
            </w:r>
          </w:p>
        </w:tc>
      </w:tr>
      <w:tr w:rsidR="00CB685B" w:rsidTr="00345119">
        <w:tc>
          <w:tcPr>
            <w:tcW w:w="9576" w:type="dxa"/>
          </w:tcPr>
          <w:p w:rsidR="008423E4" w:rsidRPr="00861995" w:rsidRDefault="00352620" w:rsidP="00A43872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CB685B" w:rsidTr="00345119">
        <w:tc>
          <w:tcPr>
            <w:tcW w:w="9576" w:type="dxa"/>
          </w:tcPr>
          <w:p w:rsidR="008423E4" w:rsidRPr="00861995" w:rsidRDefault="00352620" w:rsidP="00345119">
            <w:pPr>
              <w:jc w:val="right"/>
            </w:pPr>
            <w:r>
              <w:t>Higher Education</w:t>
            </w:r>
          </w:p>
        </w:tc>
      </w:tr>
      <w:tr w:rsidR="00CB685B" w:rsidTr="00345119">
        <w:tc>
          <w:tcPr>
            <w:tcW w:w="9576" w:type="dxa"/>
          </w:tcPr>
          <w:p w:rsidR="008423E4" w:rsidRDefault="0035262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52620" w:rsidP="008423E4">
      <w:pPr>
        <w:tabs>
          <w:tab w:val="right" w:pos="9360"/>
        </w:tabs>
      </w:pPr>
    </w:p>
    <w:p w:rsidR="008423E4" w:rsidRDefault="00352620" w:rsidP="008423E4"/>
    <w:p w:rsidR="008423E4" w:rsidRDefault="003526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B685B" w:rsidTr="00345119">
        <w:tc>
          <w:tcPr>
            <w:tcW w:w="9576" w:type="dxa"/>
          </w:tcPr>
          <w:p w:rsidR="008423E4" w:rsidRPr="00A8133F" w:rsidRDefault="00352620" w:rsidP="00F037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2620" w:rsidP="00F037DC"/>
          <w:p w:rsidR="008423E4" w:rsidRDefault="00352620" w:rsidP="00F037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>igh demand for limited</w:t>
            </w:r>
            <w:r>
              <w:t xml:space="preserve"> clinical space</w:t>
            </w:r>
            <w:r>
              <w:t xml:space="preserve"> has been reported to be</w:t>
            </w:r>
            <w:r>
              <w:t xml:space="preserve"> a significant barrier to increasing the rate at which Texas </w:t>
            </w:r>
            <w:r>
              <w:t xml:space="preserve">can train nurses. </w:t>
            </w:r>
            <w:r>
              <w:t xml:space="preserve">Although nursing programs have incorporated simulation labs to supplement student clinical experiences, hands-on clinical education is still an integral component of graduate nursing education. </w:t>
            </w:r>
            <w:r>
              <w:t>C.S.</w:t>
            </w:r>
            <w:r>
              <w:t>H.B. 2980 seeks to address this issue by</w:t>
            </w:r>
            <w:r>
              <w:t xml:space="preserve"> establishing a </w:t>
            </w:r>
            <w:r w:rsidRPr="003D400C">
              <w:t xml:space="preserve">grant program </w:t>
            </w:r>
            <w:r>
              <w:t xml:space="preserve">administered by the Texas Higher Education Coordinating Board </w:t>
            </w:r>
            <w:r w:rsidRPr="003D400C">
              <w:t xml:space="preserve">to fund innovative approaches for increasing the availability of </w:t>
            </w:r>
            <w:r>
              <w:t xml:space="preserve">such training space. </w:t>
            </w:r>
            <w:r>
              <w:t xml:space="preserve"> </w:t>
            </w:r>
          </w:p>
          <w:p w:rsidR="008423E4" w:rsidRPr="00E26B13" w:rsidRDefault="00352620" w:rsidP="00F037DC">
            <w:pPr>
              <w:rPr>
                <w:b/>
              </w:rPr>
            </w:pPr>
          </w:p>
        </w:tc>
      </w:tr>
      <w:tr w:rsidR="00CB685B" w:rsidTr="00345119">
        <w:tc>
          <w:tcPr>
            <w:tcW w:w="9576" w:type="dxa"/>
          </w:tcPr>
          <w:p w:rsidR="0017725B" w:rsidRDefault="00352620" w:rsidP="00F037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2620" w:rsidP="00F037DC">
            <w:pPr>
              <w:rPr>
                <w:b/>
                <w:u w:val="single"/>
              </w:rPr>
            </w:pPr>
          </w:p>
          <w:p w:rsidR="00036DB6" w:rsidRPr="00036DB6" w:rsidRDefault="00352620" w:rsidP="00F037DC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52620" w:rsidP="00F037DC">
            <w:pPr>
              <w:rPr>
                <w:b/>
                <w:u w:val="single"/>
              </w:rPr>
            </w:pPr>
          </w:p>
        </w:tc>
      </w:tr>
      <w:tr w:rsidR="00CB685B" w:rsidTr="00345119">
        <w:tc>
          <w:tcPr>
            <w:tcW w:w="9576" w:type="dxa"/>
          </w:tcPr>
          <w:p w:rsidR="008423E4" w:rsidRPr="00A8133F" w:rsidRDefault="00352620" w:rsidP="00F037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2620" w:rsidP="00F037DC"/>
          <w:p w:rsidR="00036DB6" w:rsidRDefault="00352620" w:rsidP="00F037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 xml:space="preserve">e committee's opinion that rulemaking authority is expressly granted to the </w:t>
            </w:r>
            <w:r w:rsidRPr="00F22425">
              <w:t>Texas Higher Education Coordinating Board</w:t>
            </w:r>
            <w:r>
              <w:t xml:space="preserve"> in SECTION 1 of this bill.</w:t>
            </w:r>
          </w:p>
          <w:p w:rsidR="008423E4" w:rsidRPr="00E21FDC" w:rsidRDefault="00352620" w:rsidP="00F037DC">
            <w:pPr>
              <w:rPr>
                <w:b/>
              </w:rPr>
            </w:pPr>
          </w:p>
        </w:tc>
      </w:tr>
      <w:tr w:rsidR="00CB685B" w:rsidTr="00345119">
        <w:tc>
          <w:tcPr>
            <w:tcW w:w="9576" w:type="dxa"/>
          </w:tcPr>
          <w:p w:rsidR="008423E4" w:rsidRPr="00A8133F" w:rsidRDefault="00352620" w:rsidP="00F037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2620" w:rsidP="00F037DC"/>
          <w:p w:rsidR="002B1DB3" w:rsidRDefault="00352620" w:rsidP="00F037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2980 amends the Education Code to </w:t>
            </w:r>
            <w:r>
              <w:t xml:space="preserve">authorize </w:t>
            </w:r>
            <w:r>
              <w:t>the Texas Higher Education Coordinating Board</w:t>
            </w:r>
            <w:r>
              <w:t xml:space="preserve"> </w:t>
            </w:r>
            <w:r>
              <w:t xml:space="preserve">to </w:t>
            </w:r>
            <w:r>
              <w:t>award graduate nursing education</w:t>
            </w:r>
            <w:r>
              <w:t xml:space="preserve"> gran</w:t>
            </w:r>
            <w:r>
              <w:t xml:space="preserve">ts </w:t>
            </w:r>
            <w:r>
              <w:t xml:space="preserve">under the professional nursing shortage reduction program </w:t>
            </w:r>
            <w:r>
              <w:t>to</w:t>
            </w:r>
            <w:r>
              <w:t xml:space="preserve"> </w:t>
            </w:r>
            <w:r>
              <w:t xml:space="preserve">public </w:t>
            </w:r>
            <w:r>
              <w:t>institutions of higher education with a graduate professional nursing program to</w:t>
            </w:r>
            <w:r>
              <w:t xml:space="preserve"> fund innovative approaches for increasing the availability of c</w:t>
            </w:r>
            <w:r>
              <w:t>linical education practice sites for graduate nurses. The bill requires the coordinating board to require</w:t>
            </w:r>
            <w:r>
              <w:t xml:space="preserve"> </w:t>
            </w:r>
            <w:r>
              <w:t>a</w:t>
            </w:r>
            <w:r>
              <w:t>n institution that receives such a</w:t>
            </w:r>
            <w:r>
              <w:t xml:space="preserve"> grant to submit periodic reports describing the outcome</w:t>
            </w:r>
            <w:r>
              <w:t>s</w:t>
            </w:r>
            <w:r>
              <w:t xml:space="preserve"> of </w:t>
            </w:r>
            <w:r>
              <w:t xml:space="preserve">grant-funded </w:t>
            </w:r>
            <w:r>
              <w:t>activities.</w:t>
            </w:r>
            <w:r>
              <w:t xml:space="preserve"> </w:t>
            </w:r>
          </w:p>
          <w:p w:rsidR="002B1DB3" w:rsidRDefault="00352620" w:rsidP="00F037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352620" w:rsidP="00F037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2980 </w:t>
            </w:r>
            <w:r>
              <w:t>authorizes th</w:t>
            </w:r>
            <w:r>
              <w:t xml:space="preserve">e legislature to appropriate money for purposes of </w:t>
            </w:r>
            <w:r>
              <w:t>the grants</w:t>
            </w:r>
            <w:r>
              <w:t xml:space="preserve"> and authorizes the coordinating board to use </w:t>
            </w:r>
            <w:r>
              <w:t xml:space="preserve">for those purposes </w:t>
            </w:r>
            <w:r>
              <w:t xml:space="preserve">funds appropriated for the </w:t>
            </w:r>
            <w:r w:rsidRPr="00DB0CDA">
              <w:t>professional nursing shortage reduction</w:t>
            </w:r>
            <w:r>
              <w:t xml:space="preserve"> </w:t>
            </w:r>
            <w:r>
              <w:t xml:space="preserve">program and </w:t>
            </w:r>
            <w:r>
              <w:t xml:space="preserve">certain </w:t>
            </w:r>
            <w:r>
              <w:t xml:space="preserve">funds returned to the </w:t>
            </w:r>
            <w:r>
              <w:t xml:space="preserve">coordinating </w:t>
            </w:r>
            <w:r>
              <w:t xml:space="preserve">board </w:t>
            </w:r>
            <w:r>
              <w:t>un</w:t>
            </w:r>
            <w:r>
              <w:t xml:space="preserve">der that </w:t>
            </w:r>
            <w:r w:rsidRPr="00DB0CDA">
              <w:t>program</w:t>
            </w:r>
            <w:r>
              <w:t xml:space="preserve">. The bill requires the </w:t>
            </w:r>
            <w:r>
              <w:t xml:space="preserve">coordinating </w:t>
            </w:r>
            <w:r>
              <w:t>board to adopt rules for the administration of the bill's provisions and, not later than November 1 of each even-numbered year, to submit to the legislature a report regarding the outcomes of the activit</w:t>
            </w:r>
            <w:r>
              <w:t xml:space="preserve">ies funded through the grants. </w:t>
            </w:r>
          </w:p>
          <w:p w:rsidR="008423E4" w:rsidRPr="00835628" w:rsidRDefault="00352620" w:rsidP="00F037DC">
            <w:pPr>
              <w:rPr>
                <w:b/>
              </w:rPr>
            </w:pPr>
          </w:p>
        </w:tc>
      </w:tr>
      <w:tr w:rsidR="00CB685B" w:rsidTr="00345119">
        <w:tc>
          <w:tcPr>
            <w:tcW w:w="9576" w:type="dxa"/>
          </w:tcPr>
          <w:p w:rsidR="008423E4" w:rsidRPr="00A8133F" w:rsidRDefault="00352620" w:rsidP="00F037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2620" w:rsidP="00F037DC"/>
          <w:p w:rsidR="008423E4" w:rsidRPr="003624F2" w:rsidRDefault="00352620" w:rsidP="00F037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52620" w:rsidP="00F037DC">
            <w:pPr>
              <w:rPr>
                <w:b/>
              </w:rPr>
            </w:pPr>
          </w:p>
        </w:tc>
      </w:tr>
      <w:tr w:rsidR="00CB685B" w:rsidTr="00345119">
        <w:tc>
          <w:tcPr>
            <w:tcW w:w="9576" w:type="dxa"/>
          </w:tcPr>
          <w:p w:rsidR="00A43872" w:rsidRDefault="00352620" w:rsidP="00F037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C05E6" w:rsidRDefault="00352620" w:rsidP="00F037DC">
            <w:pPr>
              <w:jc w:val="both"/>
            </w:pPr>
          </w:p>
          <w:p w:rsidR="00FC05E6" w:rsidRDefault="00352620" w:rsidP="00F037DC">
            <w:pPr>
              <w:jc w:val="both"/>
            </w:pPr>
            <w:r>
              <w:t xml:space="preserve">While C.S.H.B. 2980 may differ from the original in minor or nonsubstantive ways, the following summarizes the substantial differences between </w:t>
            </w:r>
            <w:r>
              <w:t>the introduced and committee substitute versions of the bill.</w:t>
            </w:r>
          </w:p>
          <w:p w:rsidR="00FC05E6" w:rsidRDefault="00352620" w:rsidP="00F037DC">
            <w:pPr>
              <w:jc w:val="both"/>
            </w:pPr>
          </w:p>
          <w:p w:rsidR="00DF6D5C" w:rsidRDefault="00352620" w:rsidP="00F037DC">
            <w:pPr>
              <w:jc w:val="both"/>
            </w:pPr>
            <w:r>
              <w:t>The substitute makes the following changes:</w:t>
            </w:r>
          </w:p>
          <w:p w:rsidR="00DF6D5C" w:rsidRDefault="00352620" w:rsidP="00F037D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clarifies that the recipients of the grants</w:t>
            </w:r>
            <w:r>
              <w:t xml:space="preserve"> </w:t>
            </w:r>
            <w:r>
              <w:t>are public institutions of higher education with graduate professional nursing programs;</w:t>
            </w:r>
          </w:p>
          <w:p w:rsidR="00DF6D5C" w:rsidRDefault="00352620" w:rsidP="00F037D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specifically authorizes legislative appropriations for the bill's purposes;</w:t>
            </w:r>
          </w:p>
          <w:p w:rsidR="00DF6D5C" w:rsidRDefault="00352620" w:rsidP="00F037D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includes requirements for the </w:t>
            </w:r>
            <w:r w:rsidRPr="00FC05E6">
              <w:t>Texas Higher Education Coordinating Board</w:t>
            </w:r>
            <w:r>
              <w:t xml:space="preserve"> to adopt rules for the administration </w:t>
            </w:r>
            <w:r>
              <w:t xml:space="preserve">of the grants </w:t>
            </w:r>
            <w:r>
              <w:t xml:space="preserve">and to submit a </w:t>
            </w:r>
            <w:r>
              <w:t xml:space="preserve">certain biennial </w:t>
            </w:r>
            <w:r>
              <w:t>report to the legislatu</w:t>
            </w:r>
            <w:r>
              <w:t>re</w:t>
            </w:r>
            <w:r>
              <w:t>; and</w:t>
            </w:r>
          </w:p>
          <w:p w:rsidR="00FC05E6" w:rsidRDefault="00352620" w:rsidP="00F037D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changes the bill's effective date</w:t>
            </w:r>
            <w:r>
              <w:t xml:space="preserve"> provision</w:t>
            </w:r>
            <w:r>
              <w:t xml:space="preserve">. </w:t>
            </w:r>
          </w:p>
          <w:p w:rsidR="00FC05E6" w:rsidRPr="00FC05E6" w:rsidRDefault="00352620" w:rsidP="00F037DC">
            <w:pPr>
              <w:jc w:val="both"/>
            </w:pPr>
          </w:p>
        </w:tc>
      </w:tr>
      <w:tr w:rsidR="00CB685B" w:rsidTr="00345119">
        <w:tc>
          <w:tcPr>
            <w:tcW w:w="9576" w:type="dxa"/>
          </w:tcPr>
          <w:p w:rsidR="00A43872" w:rsidRPr="009C1E9A" w:rsidRDefault="00352620" w:rsidP="00F037DC">
            <w:pPr>
              <w:rPr>
                <w:b/>
                <w:u w:val="single"/>
              </w:rPr>
            </w:pPr>
          </w:p>
        </w:tc>
      </w:tr>
      <w:tr w:rsidR="00CB685B" w:rsidTr="00345119">
        <w:tc>
          <w:tcPr>
            <w:tcW w:w="9576" w:type="dxa"/>
          </w:tcPr>
          <w:p w:rsidR="00A43872" w:rsidRPr="00A43872" w:rsidRDefault="00352620" w:rsidP="00F037DC">
            <w:pPr>
              <w:jc w:val="both"/>
            </w:pPr>
          </w:p>
        </w:tc>
      </w:tr>
    </w:tbl>
    <w:p w:rsidR="008423E4" w:rsidRPr="00BE0E75" w:rsidRDefault="003526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26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2620">
      <w:r>
        <w:separator/>
      </w:r>
    </w:p>
  </w:endnote>
  <w:endnote w:type="continuationSeparator" w:id="0">
    <w:p w:rsidR="00000000" w:rsidRDefault="003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685B" w:rsidTr="009C1E9A">
      <w:trPr>
        <w:cantSplit/>
      </w:trPr>
      <w:tc>
        <w:tcPr>
          <w:tcW w:w="0" w:type="pct"/>
        </w:tcPr>
        <w:p w:rsidR="00137D90" w:rsidRDefault="003526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26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26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26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26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685B" w:rsidTr="009C1E9A">
      <w:trPr>
        <w:cantSplit/>
      </w:trPr>
      <w:tc>
        <w:tcPr>
          <w:tcW w:w="0" w:type="pct"/>
        </w:tcPr>
        <w:p w:rsidR="00EC379B" w:rsidRDefault="003526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26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28595</w:t>
          </w:r>
        </w:p>
      </w:tc>
      <w:tc>
        <w:tcPr>
          <w:tcW w:w="2453" w:type="pct"/>
        </w:tcPr>
        <w:p w:rsidR="00EC379B" w:rsidRDefault="003526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19.109.408</w:t>
          </w:r>
          <w:r>
            <w:fldChar w:fldCharType="end"/>
          </w:r>
        </w:p>
      </w:tc>
    </w:tr>
    <w:tr w:rsidR="00CB685B" w:rsidTr="009C1E9A">
      <w:trPr>
        <w:cantSplit/>
      </w:trPr>
      <w:tc>
        <w:tcPr>
          <w:tcW w:w="0" w:type="pct"/>
        </w:tcPr>
        <w:p w:rsidR="00EC379B" w:rsidRDefault="003526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26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24344</w:t>
          </w:r>
        </w:p>
      </w:tc>
      <w:tc>
        <w:tcPr>
          <w:tcW w:w="2453" w:type="pct"/>
        </w:tcPr>
        <w:p w:rsidR="00EC379B" w:rsidRDefault="00352620" w:rsidP="006D504F">
          <w:pPr>
            <w:pStyle w:val="Footer"/>
            <w:rPr>
              <w:rStyle w:val="PageNumber"/>
            </w:rPr>
          </w:pPr>
        </w:p>
        <w:p w:rsidR="00EC379B" w:rsidRDefault="003526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68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26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526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26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2620">
      <w:r>
        <w:separator/>
      </w:r>
    </w:p>
  </w:footnote>
  <w:footnote w:type="continuationSeparator" w:id="0">
    <w:p w:rsidR="00000000" w:rsidRDefault="0035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3B64"/>
    <w:multiLevelType w:val="hybridMultilevel"/>
    <w:tmpl w:val="5B704D5A"/>
    <w:lvl w:ilvl="0" w:tplc="52367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8E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1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A7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27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69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0A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47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A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03F1"/>
    <w:multiLevelType w:val="hybridMultilevel"/>
    <w:tmpl w:val="C41E501E"/>
    <w:lvl w:ilvl="0" w:tplc="CA4ED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07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C3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CF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40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CF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26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C8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ED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5B"/>
    <w:rsid w:val="00352620"/>
    <w:rsid w:val="00C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67DAF2-29A2-4015-8429-DFD54DA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6D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6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6D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DB6"/>
    <w:rPr>
      <w:b/>
      <w:bCs/>
    </w:rPr>
  </w:style>
  <w:style w:type="paragraph" w:styleId="ListParagraph">
    <w:name w:val="List Paragraph"/>
    <w:basedOn w:val="Normal"/>
    <w:uiPriority w:val="34"/>
    <w:qFormat/>
    <w:rsid w:val="00DF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2627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HB02980 (Committee Report (Substituted))</vt:lpstr>
    </vt:vector>
  </TitlesOfParts>
  <Company>State of Texas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28595</dc:subject>
  <dc:creator>State of Texas</dc:creator>
  <dc:description>HB 2980 by Howard-(H)Higher Education (Substitute Document Number: 86R 24344)</dc:description>
  <cp:lastModifiedBy>Stacey Nicchio</cp:lastModifiedBy>
  <cp:revision>2</cp:revision>
  <cp:lastPrinted>2003-11-26T17:21:00Z</cp:lastPrinted>
  <dcterms:created xsi:type="dcterms:W3CDTF">2019-04-25T22:40:00Z</dcterms:created>
  <dcterms:modified xsi:type="dcterms:W3CDTF">2019-04-25T22:40:00Z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19.109.408</vt:lpwstr>
  </property>
</Properties>
</file>