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6165" w:rsidTr="00345119">
        <w:tc>
          <w:tcPr>
            <w:tcW w:w="9576" w:type="dxa"/>
            <w:noWrap/>
          </w:tcPr>
          <w:p w:rsidR="008423E4" w:rsidRPr="0022177D" w:rsidRDefault="001566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666C" w:rsidP="008423E4">
      <w:pPr>
        <w:jc w:val="center"/>
      </w:pPr>
    </w:p>
    <w:p w:rsidR="008423E4" w:rsidRPr="00B31F0E" w:rsidRDefault="0015666C" w:rsidP="008423E4"/>
    <w:p w:rsidR="008423E4" w:rsidRPr="00742794" w:rsidRDefault="001566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6165" w:rsidTr="00345119">
        <w:tc>
          <w:tcPr>
            <w:tcW w:w="9576" w:type="dxa"/>
          </w:tcPr>
          <w:p w:rsidR="008423E4" w:rsidRPr="00861995" w:rsidRDefault="0015666C" w:rsidP="00345119">
            <w:pPr>
              <w:jc w:val="right"/>
            </w:pPr>
            <w:r>
              <w:t>C.S.H.B. 3000</w:t>
            </w:r>
          </w:p>
        </w:tc>
      </w:tr>
      <w:tr w:rsidR="00A86165" w:rsidTr="00345119">
        <w:tc>
          <w:tcPr>
            <w:tcW w:w="9576" w:type="dxa"/>
          </w:tcPr>
          <w:p w:rsidR="008423E4" w:rsidRPr="00861995" w:rsidRDefault="0015666C" w:rsidP="00D07F6E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A86165" w:rsidTr="00345119">
        <w:tc>
          <w:tcPr>
            <w:tcW w:w="9576" w:type="dxa"/>
          </w:tcPr>
          <w:p w:rsidR="008423E4" w:rsidRPr="00861995" w:rsidRDefault="0015666C" w:rsidP="00345119">
            <w:pPr>
              <w:jc w:val="right"/>
            </w:pPr>
            <w:r>
              <w:t>Public Education</w:t>
            </w:r>
          </w:p>
        </w:tc>
      </w:tr>
      <w:tr w:rsidR="00A86165" w:rsidTr="00345119">
        <w:tc>
          <w:tcPr>
            <w:tcW w:w="9576" w:type="dxa"/>
          </w:tcPr>
          <w:p w:rsidR="008423E4" w:rsidRDefault="0015666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5666C" w:rsidP="008423E4">
      <w:pPr>
        <w:tabs>
          <w:tab w:val="right" w:pos="9360"/>
        </w:tabs>
      </w:pPr>
    </w:p>
    <w:p w:rsidR="008423E4" w:rsidRDefault="0015666C" w:rsidP="008423E4"/>
    <w:p w:rsidR="008423E4" w:rsidRDefault="001566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6165" w:rsidTr="00345119">
        <w:tc>
          <w:tcPr>
            <w:tcW w:w="9576" w:type="dxa"/>
          </w:tcPr>
          <w:p w:rsidR="008423E4" w:rsidRPr="00A8133F" w:rsidRDefault="0015666C" w:rsidP="00B928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666C" w:rsidP="00B92823"/>
          <w:p w:rsidR="008423E4" w:rsidRDefault="0015666C" w:rsidP="00B92823">
            <w:pPr>
              <w:pStyle w:val="Header"/>
              <w:jc w:val="both"/>
            </w:pPr>
            <w:r>
              <w:t>Concerns have been raised regarding the high incidence of recent m</w:t>
            </w:r>
            <w:r>
              <w:t xml:space="preserve">ajor breaches </w:t>
            </w:r>
            <w:r>
              <w:t xml:space="preserve">involving </w:t>
            </w:r>
            <w:r>
              <w:t>student and teacher personal information</w:t>
            </w:r>
            <w:r>
              <w:t xml:space="preserve"> in Texas</w:t>
            </w:r>
            <w:r>
              <w:t xml:space="preserve">. </w:t>
            </w:r>
            <w:r>
              <w:t>C.S.</w:t>
            </w:r>
            <w:r>
              <w:t>H.B. 3000 seeks to combat this issue by</w:t>
            </w:r>
            <w:r>
              <w:t xml:space="preserve"> ensur</w:t>
            </w:r>
            <w:r>
              <w:t>ing</w:t>
            </w:r>
            <w:r>
              <w:t xml:space="preserve"> that all students, educators, and district employees are notified when their data may have been accessed illicitly</w:t>
            </w:r>
            <w:r>
              <w:t xml:space="preserve"> and by </w:t>
            </w:r>
            <w:r>
              <w:t xml:space="preserve">requiring the establishment of a </w:t>
            </w:r>
            <w:r w:rsidRPr="00D72458">
              <w:t>database that contains information re</w:t>
            </w:r>
            <w:r w:rsidRPr="00D72458">
              <w:t>garding each reported district data breach</w:t>
            </w:r>
            <w:r>
              <w:t>.</w:t>
            </w:r>
          </w:p>
          <w:p w:rsidR="008423E4" w:rsidRPr="00E26B13" w:rsidRDefault="0015666C" w:rsidP="00B92823">
            <w:pPr>
              <w:rPr>
                <w:b/>
              </w:rPr>
            </w:pPr>
          </w:p>
        </w:tc>
      </w:tr>
      <w:tr w:rsidR="00A86165" w:rsidTr="00345119">
        <w:tc>
          <w:tcPr>
            <w:tcW w:w="9576" w:type="dxa"/>
          </w:tcPr>
          <w:p w:rsidR="0017725B" w:rsidRDefault="0015666C" w:rsidP="00B928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666C" w:rsidP="00B92823">
            <w:pPr>
              <w:rPr>
                <w:b/>
                <w:u w:val="single"/>
              </w:rPr>
            </w:pPr>
          </w:p>
          <w:p w:rsidR="007A042A" w:rsidRPr="007A042A" w:rsidRDefault="0015666C" w:rsidP="00B9282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</w:t>
            </w:r>
            <w:r>
              <w:t>e eligibility of a person for community supervision, parole, or mandatory supervision.</w:t>
            </w:r>
          </w:p>
          <w:p w:rsidR="0017725B" w:rsidRPr="0017725B" w:rsidRDefault="0015666C" w:rsidP="00B92823">
            <w:pPr>
              <w:rPr>
                <w:b/>
                <w:u w:val="single"/>
              </w:rPr>
            </w:pPr>
          </w:p>
        </w:tc>
      </w:tr>
      <w:tr w:rsidR="00A86165" w:rsidTr="00345119">
        <w:tc>
          <w:tcPr>
            <w:tcW w:w="9576" w:type="dxa"/>
          </w:tcPr>
          <w:p w:rsidR="008423E4" w:rsidRPr="00A8133F" w:rsidRDefault="0015666C" w:rsidP="00B928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666C" w:rsidP="00B92823"/>
          <w:p w:rsidR="007A042A" w:rsidRDefault="0015666C" w:rsidP="00B928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 this bill.</w:t>
            </w:r>
          </w:p>
          <w:p w:rsidR="008423E4" w:rsidRPr="00E21FDC" w:rsidRDefault="0015666C" w:rsidP="00B92823">
            <w:pPr>
              <w:rPr>
                <w:b/>
              </w:rPr>
            </w:pPr>
          </w:p>
        </w:tc>
      </w:tr>
      <w:tr w:rsidR="00A86165" w:rsidTr="00345119">
        <w:tc>
          <w:tcPr>
            <w:tcW w:w="9576" w:type="dxa"/>
          </w:tcPr>
          <w:p w:rsidR="008423E4" w:rsidRPr="00A8133F" w:rsidRDefault="0015666C" w:rsidP="00B928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666C" w:rsidP="00B92823"/>
          <w:p w:rsidR="008423E4" w:rsidRDefault="0015666C" w:rsidP="00B92823">
            <w:pPr>
              <w:pStyle w:val="Header"/>
              <w:jc w:val="both"/>
            </w:pPr>
            <w:r>
              <w:t>C.S.</w:t>
            </w:r>
            <w:r>
              <w:t xml:space="preserve">H.B. 3000 amends the Education Code to require a public school district to provide written notice to a parent of or person standing in parental relation to a student enrolled in the district of a district data breach involving the student's </w:t>
            </w:r>
            <w:r>
              <w:t xml:space="preserve">information not later than the </w:t>
            </w:r>
            <w:r>
              <w:t xml:space="preserve">30th </w:t>
            </w:r>
            <w:r>
              <w:t xml:space="preserve">day after the date on which the district becomes aware of the data breach. The bill </w:t>
            </w:r>
            <w:r>
              <w:t>defines</w:t>
            </w:r>
            <w:r>
              <w:t xml:space="preserve"> "data breach" and </w:t>
            </w:r>
            <w:r>
              <w:t xml:space="preserve">sets out </w:t>
            </w:r>
            <w:r>
              <w:t xml:space="preserve">the </w:t>
            </w:r>
            <w:r>
              <w:t xml:space="preserve">required </w:t>
            </w:r>
            <w:r>
              <w:t xml:space="preserve">contents of the notice. </w:t>
            </w:r>
            <w:r>
              <w:t>The bill requires a district to submit to the Texas Education Ag</w:t>
            </w:r>
            <w:r>
              <w:t xml:space="preserve">ency (TEA) a </w:t>
            </w:r>
            <w:r w:rsidRPr="006C7753">
              <w:t xml:space="preserve">report on a district data breach not later than the </w:t>
            </w:r>
            <w:r>
              <w:t>60th</w:t>
            </w:r>
            <w:r w:rsidRPr="006C7753">
              <w:t xml:space="preserve"> </w:t>
            </w:r>
            <w:r w:rsidRPr="006C7753">
              <w:t>day after the date the district becomes aware of the data breach</w:t>
            </w:r>
            <w:r>
              <w:t xml:space="preserve"> and sets out the required contents of the report.</w:t>
            </w:r>
            <w:r>
              <w:t xml:space="preserve"> </w:t>
            </w:r>
            <w:r>
              <w:t>The bill establishes that the following information included in the rep</w:t>
            </w:r>
            <w:r>
              <w:t>ort is confidential and not subject to disclosure under state public information law:</w:t>
            </w:r>
          </w:p>
          <w:p w:rsidR="00444DF1" w:rsidRDefault="0015666C" w:rsidP="00B9282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detailed information regarding the nature of the data breach;</w:t>
            </w:r>
            <w:r>
              <w:t xml:space="preserve"> and</w:t>
            </w:r>
          </w:p>
          <w:p w:rsidR="00124E40" w:rsidRDefault="0015666C" w:rsidP="00B92823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 detailed description of any action taken or planned to be taken by the district to reduce damage as a </w:t>
            </w:r>
            <w:r>
              <w:t xml:space="preserve">result of the data breach or </w:t>
            </w:r>
            <w:r>
              <w:t xml:space="preserve">to </w:t>
            </w:r>
            <w:r>
              <w:t>prevent another data breach</w:t>
            </w:r>
            <w:r>
              <w:t>.</w:t>
            </w:r>
          </w:p>
          <w:p w:rsidR="00444DF1" w:rsidRDefault="0015666C" w:rsidP="00B92823">
            <w:pPr>
              <w:pStyle w:val="Header"/>
              <w:jc w:val="both"/>
            </w:pPr>
          </w:p>
          <w:p w:rsidR="00444DF1" w:rsidRDefault="0015666C" w:rsidP="00B92823">
            <w:pPr>
              <w:pStyle w:val="Header"/>
              <w:jc w:val="both"/>
            </w:pPr>
            <w:r>
              <w:t>C.S.</w:t>
            </w:r>
            <w:r>
              <w:t xml:space="preserve">H.B. 3000 requires TEA to establish and maintain an electronically searchable database that contains information regarding each reported district data breach. The bill requires the database </w:t>
            </w:r>
            <w:r>
              <w:t xml:space="preserve">to contain </w:t>
            </w:r>
            <w:r>
              <w:t xml:space="preserve">certain </w:t>
            </w:r>
            <w:r>
              <w:t>publicly accessible information for each data breach</w:t>
            </w:r>
            <w:r>
              <w:t xml:space="preserve"> and also</w:t>
            </w:r>
            <w:r>
              <w:t xml:space="preserve"> to contain for each data breach the </w:t>
            </w:r>
            <w:r>
              <w:t xml:space="preserve">confidential </w:t>
            </w:r>
            <w:r>
              <w:t xml:space="preserve">information included in the </w:t>
            </w:r>
            <w:r>
              <w:t xml:space="preserve">district's </w:t>
            </w:r>
            <w:r>
              <w:t>report to TEA</w:t>
            </w:r>
            <w:r>
              <w:t>. The bill</w:t>
            </w:r>
            <w:r>
              <w:t xml:space="preserve"> requires TEA to ensure that only a school administrator may acc</w:t>
            </w:r>
            <w:r>
              <w:t xml:space="preserve">ess </w:t>
            </w:r>
            <w:r>
              <w:t xml:space="preserve">the confidential </w:t>
            </w:r>
            <w:r>
              <w:t xml:space="preserve">information contained in the database. The bill authorizes the commissioner of education to adopt rules as necessary to implement </w:t>
            </w:r>
            <w:r>
              <w:t xml:space="preserve">the bill's </w:t>
            </w:r>
            <w:r>
              <w:t xml:space="preserve">provisions relating to student data security. </w:t>
            </w:r>
          </w:p>
          <w:p w:rsidR="00444DF1" w:rsidRPr="00265AA2" w:rsidRDefault="0015666C" w:rsidP="00B92823">
            <w:pPr>
              <w:pStyle w:val="Header"/>
              <w:jc w:val="both"/>
              <w:rPr>
                <w:sz w:val="22"/>
              </w:rPr>
            </w:pPr>
          </w:p>
          <w:p w:rsidR="00BF4AD7" w:rsidRDefault="0015666C" w:rsidP="00B92823">
            <w:pPr>
              <w:pStyle w:val="Header"/>
              <w:jc w:val="both"/>
            </w:pPr>
            <w:r>
              <w:t>C.S.</w:t>
            </w:r>
            <w:r>
              <w:t>H.B. 3000 explicitly</w:t>
            </w:r>
            <w:r>
              <w:t xml:space="preserve"> </w:t>
            </w:r>
            <w:r>
              <w:t>subjects an open-enro</w:t>
            </w:r>
            <w:r>
              <w:t xml:space="preserve">llment charter school to </w:t>
            </w:r>
            <w:r>
              <w:t>a prohibition, restriction, or requirement</w:t>
            </w:r>
            <w:r>
              <w:t xml:space="preserve"> imposed by the bill's provisions</w:t>
            </w:r>
            <w:r>
              <w:t xml:space="preserve"> relating to student data security</w:t>
            </w:r>
            <w:r>
              <w:t xml:space="preserve"> or a rule adopted under th</w:t>
            </w:r>
            <w:r>
              <w:t>o</w:t>
            </w:r>
            <w:r>
              <w:t xml:space="preserve">se provisions. </w:t>
            </w:r>
            <w:r>
              <w:t xml:space="preserve"> </w:t>
            </w:r>
          </w:p>
          <w:p w:rsidR="008423E4" w:rsidRPr="00835628" w:rsidRDefault="0015666C" w:rsidP="00B92823">
            <w:pPr>
              <w:rPr>
                <w:b/>
              </w:rPr>
            </w:pPr>
          </w:p>
        </w:tc>
      </w:tr>
      <w:tr w:rsidR="00A86165" w:rsidTr="00345119">
        <w:tc>
          <w:tcPr>
            <w:tcW w:w="9576" w:type="dxa"/>
          </w:tcPr>
          <w:p w:rsidR="008423E4" w:rsidRPr="00A8133F" w:rsidRDefault="0015666C" w:rsidP="00B928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666C" w:rsidP="00B92823"/>
          <w:p w:rsidR="008423E4" w:rsidRPr="003624F2" w:rsidRDefault="0015666C" w:rsidP="00B928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</w:t>
            </w:r>
            <w:r>
              <w:t xml:space="preserve"> vote, September 1, 2019.</w:t>
            </w:r>
          </w:p>
          <w:p w:rsidR="008423E4" w:rsidRPr="00233FDB" w:rsidRDefault="0015666C" w:rsidP="00B92823">
            <w:pPr>
              <w:rPr>
                <w:b/>
              </w:rPr>
            </w:pPr>
          </w:p>
        </w:tc>
      </w:tr>
      <w:tr w:rsidR="00A86165" w:rsidTr="00345119">
        <w:tc>
          <w:tcPr>
            <w:tcW w:w="9576" w:type="dxa"/>
          </w:tcPr>
          <w:p w:rsidR="00D07F6E" w:rsidRDefault="0015666C" w:rsidP="00B928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E2D3C" w:rsidRDefault="0015666C" w:rsidP="00B92823">
            <w:pPr>
              <w:jc w:val="both"/>
            </w:pPr>
          </w:p>
          <w:p w:rsidR="00BE2D3C" w:rsidRDefault="0015666C" w:rsidP="00B92823">
            <w:pPr>
              <w:jc w:val="both"/>
            </w:pPr>
            <w:r>
              <w:t>While C.S.H.B. 3000 may differ from the original in minor or nonsubstantive ways, the following summarizes the substantial differences between the introduced and committee substitute versio</w:t>
            </w:r>
            <w:r>
              <w:t>ns of the bill.</w:t>
            </w:r>
          </w:p>
          <w:p w:rsidR="00BE2D3C" w:rsidRDefault="0015666C" w:rsidP="00B92823">
            <w:pPr>
              <w:jc w:val="both"/>
            </w:pPr>
          </w:p>
          <w:p w:rsidR="00D831B5" w:rsidRDefault="0015666C" w:rsidP="00B92823">
            <w:pPr>
              <w:jc w:val="both"/>
            </w:pPr>
            <w:r>
              <w:t xml:space="preserve">The substitute clarifies </w:t>
            </w:r>
            <w:r>
              <w:t>that the sensitive, protected, or confidential student information referenced in the definition of "</w:t>
            </w:r>
            <w:r>
              <w:t xml:space="preserve">data breach" </w:t>
            </w:r>
            <w:r>
              <w:t xml:space="preserve">is </w:t>
            </w:r>
            <w:r>
              <w:t>classified</w:t>
            </w:r>
            <w:r>
              <w:t xml:space="preserve"> as such as provided by state or federal law</w:t>
            </w:r>
            <w:r>
              <w:t>.</w:t>
            </w:r>
          </w:p>
          <w:p w:rsidR="00D831B5" w:rsidRDefault="0015666C" w:rsidP="00B92823">
            <w:pPr>
              <w:jc w:val="both"/>
            </w:pPr>
          </w:p>
          <w:p w:rsidR="00291824" w:rsidRDefault="0015666C" w:rsidP="00B92823">
            <w:pPr>
              <w:jc w:val="both"/>
            </w:pPr>
            <w:r>
              <w:t>The substitute changes the deadline for a</w:t>
            </w:r>
            <w:r>
              <w:t xml:space="preserve"> </w:t>
            </w:r>
            <w:r>
              <w:t xml:space="preserve">public </w:t>
            </w:r>
            <w:r>
              <w:t xml:space="preserve">school district to provide written notice to a parent of or person standing in parental relation to a </w:t>
            </w:r>
            <w:r>
              <w:t xml:space="preserve">district </w:t>
            </w:r>
            <w:r>
              <w:t>student of a data breach involving the student's information from not later than the 10th day after the date on which the district become</w:t>
            </w:r>
            <w:r>
              <w:t xml:space="preserve">s aware of the breach to not later than the 30th day after </w:t>
            </w:r>
            <w:r>
              <w:t>that</w:t>
            </w:r>
            <w:r>
              <w:t xml:space="preserve"> date. The substitute changes the deadline for a district to submit to TEA a report on a district data breach from not later than the 10th day after the date the district becomes aware of the d</w:t>
            </w:r>
            <w:r>
              <w:t xml:space="preserve">ata breach to not later than the 60th day after </w:t>
            </w:r>
            <w:r>
              <w:t>that</w:t>
            </w:r>
            <w:r>
              <w:t xml:space="preserve"> date. </w:t>
            </w:r>
          </w:p>
          <w:p w:rsidR="00C146EA" w:rsidRDefault="0015666C" w:rsidP="00B92823">
            <w:pPr>
              <w:jc w:val="both"/>
            </w:pPr>
          </w:p>
          <w:p w:rsidR="00C146EA" w:rsidRDefault="0015666C" w:rsidP="00B92823">
            <w:pPr>
              <w:jc w:val="both"/>
            </w:pPr>
            <w:r>
              <w:t xml:space="preserve">The substitute specifies that the </w:t>
            </w:r>
            <w:r>
              <w:t>contents of</w:t>
            </w:r>
            <w:r>
              <w:t xml:space="preserve"> the </w:t>
            </w:r>
            <w:r>
              <w:t xml:space="preserve">required </w:t>
            </w:r>
            <w:r>
              <w:t xml:space="preserve">notice and report of a district data breach </w:t>
            </w:r>
            <w:r>
              <w:t>describing</w:t>
            </w:r>
            <w:r>
              <w:t xml:space="preserve"> </w:t>
            </w:r>
            <w:r>
              <w:t>any action taken or planned to be taken by the district to prevent</w:t>
            </w:r>
            <w:r>
              <w:t xml:space="preserve"> another data b</w:t>
            </w:r>
            <w:r>
              <w:t xml:space="preserve">reach include adopting a student privacy pledge. </w:t>
            </w:r>
          </w:p>
          <w:p w:rsidR="00BE2D3C" w:rsidRDefault="0015666C" w:rsidP="00B92823">
            <w:pPr>
              <w:jc w:val="both"/>
              <w:rPr>
                <w:b/>
                <w:u w:val="single"/>
              </w:rPr>
            </w:pPr>
          </w:p>
          <w:p w:rsidR="00D07F6E" w:rsidRPr="00D07F6E" w:rsidRDefault="0015666C" w:rsidP="00B92823">
            <w:pPr>
              <w:jc w:val="both"/>
              <w:rPr>
                <w:b/>
                <w:u w:val="single"/>
              </w:rPr>
            </w:pPr>
          </w:p>
        </w:tc>
      </w:tr>
      <w:tr w:rsidR="00A86165" w:rsidTr="00345119">
        <w:tc>
          <w:tcPr>
            <w:tcW w:w="9576" w:type="dxa"/>
          </w:tcPr>
          <w:p w:rsidR="00D07F6E" w:rsidRPr="009C1E9A" w:rsidRDefault="0015666C" w:rsidP="00B92823">
            <w:pPr>
              <w:rPr>
                <w:b/>
                <w:u w:val="single"/>
              </w:rPr>
            </w:pPr>
          </w:p>
        </w:tc>
      </w:tr>
      <w:tr w:rsidR="00A86165" w:rsidTr="00345119">
        <w:tc>
          <w:tcPr>
            <w:tcW w:w="9576" w:type="dxa"/>
          </w:tcPr>
          <w:p w:rsidR="00D07F6E" w:rsidRPr="00D07F6E" w:rsidRDefault="0015666C" w:rsidP="00B92823">
            <w:pPr>
              <w:jc w:val="both"/>
            </w:pPr>
          </w:p>
        </w:tc>
      </w:tr>
    </w:tbl>
    <w:p w:rsidR="008423E4" w:rsidRPr="00BE0E75" w:rsidRDefault="001566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666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666C">
      <w:r>
        <w:separator/>
      </w:r>
    </w:p>
  </w:endnote>
  <w:endnote w:type="continuationSeparator" w:id="0">
    <w:p w:rsidR="00000000" w:rsidRDefault="0015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6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6165" w:rsidTr="009C1E9A">
      <w:trPr>
        <w:cantSplit/>
      </w:trPr>
      <w:tc>
        <w:tcPr>
          <w:tcW w:w="0" w:type="pct"/>
        </w:tcPr>
        <w:p w:rsidR="00137D90" w:rsidRDefault="001566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66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66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66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66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6165" w:rsidTr="009C1E9A">
      <w:trPr>
        <w:cantSplit/>
      </w:trPr>
      <w:tc>
        <w:tcPr>
          <w:tcW w:w="0" w:type="pct"/>
        </w:tcPr>
        <w:p w:rsidR="00EC379B" w:rsidRDefault="001566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66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29852</w:t>
          </w:r>
        </w:p>
      </w:tc>
      <w:tc>
        <w:tcPr>
          <w:tcW w:w="2453" w:type="pct"/>
        </w:tcPr>
        <w:p w:rsidR="00EC379B" w:rsidRDefault="001566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19.115.1702</w:t>
          </w:r>
          <w:r>
            <w:fldChar w:fldCharType="end"/>
          </w:r>
        </w:p>
      </w:tc>
    </w:tr>
    <w:tr w:rsidR="00A86165" w:rsidTr="009C1E9A">
      <w:trPr>
        <w:cantSplit/>
      </w:trPr>
      <w:tc>
        <w:tcPr>
          <w:tcW w:w="0" w:type="pct"/>
        </w:tcPr>
        <w:p w:rsidR="00EC379B" w:rsidRDefault="001566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66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21041</w:t>
          </w:r>
        </w:p>
      </w:tc>
      <w:tc>
        <w:tcPr>
          <w:tcW w:w="2453" w:type="pct"/>
        </w:tcPr>
        <w:p w:rsidR="00EC379B" w:rsidRDefault="0015666C" w:rsidP="006D504F">
          <w:pPr>
            <w:pStyle w:val="Footer"/>
            <w:rPr>
              <w:rStyle w:val="PageNumber"/>
            </w:rPr>
          </w:pPr>
        </w:p>
        <w:p w:rsidR="00EC379B" w:rsidRDefault="001566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61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66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566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66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666C">
      <w:r>
        <w:separator/>
      </w:r>
    </w:p>
  </w:footnote>
  <w:footnote w:type="continuationSeparator" w:id="0">
    <w:p w:rsidR="00000000" w:rsidRDefault="0015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6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769"/>
    <w:multiLevelType w:val="hybridMultilevel"/>
    <w:tmpl w:val="7B9692D6"/>
    <w:lvl w:ilvl="0" w:tplc="20E8C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A5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C3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0E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45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E2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0E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66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ED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E2D4C"/>
    <w:multiLevelType w:val="hybridMultilevel"/>
    <w:tmpl w:val="FE441BBE"/>
    <w:lvl w:ilvl="0" w:tplc="FBBC0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4F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C6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A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0B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01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09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C8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2F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5"/>
    <w:rsid w:val="0015666C"/>
    <w:rsid w:val="00A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50BDFD-F49F-4E2B-9772-DD0134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4A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4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4A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3667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HB03000 (Committee Report (Substituted))</vt:lpstr>
    </vt:vector>
  </TitlesOfParts>
  <Company>State of Texas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29852</dc:subject>
  <dc:creator>State of Texas</dc:creator>
  <dc:description>HB 3000 by Talarico-(H)Public Education (Substitute Document Number: 86R 21041)</dc:description>
  <cp:lastModifiedBy>Laura Ramsay</cp:lastModifiedBy>
  <cp:revision>2</cp:revision>
  <cp:lastPrinted>2003-11-26T17:21:00Z</cp:lastPrinted>
  <dcterms:created xsi:type="dcterms:W3CDTF">2019-04-30T15:15:00Z</dcterms:created>
  <dcterms:modified xsi:type="dcterms:W3CDTF">2019-04-30T15:15:00Z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19.115.1702</vt:lpwstr>
  </property>
</Properties>
</file>