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96C04" w:rsidTr="00345119">
        <w:tc>
          <w:tcPr>
            <w:tcW w:w="9576" w:type="dxa"/>
            <w:noWrap/>
          </w:tcPr>
          <w:p w:rsidR="008423E4" w:rsidRPr="0022177D" w:rsidRDefault="00FA20E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A20E7" w:rsidP="008423E4">
      <w:pPr>
        <w:jc w:val="center"/>
      </w:pPr>
    </w:p>
    <w:p w:rsidR="008423E4" w:rsidRPr="00B31F0E" w:rsidRDefault="00FA20E7" w:rsidP="008423E4"/>
    <w:p w:rsidR="008423E4" w:rsidRPr="00742794" w:rsidRDefault="00FA20E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6C04" w:rsidTr="00345119">
        <w:tc>
          <w:tcPr>
            <w:tcW w:w="9576" w:type="dxa"/>
          </w:tcPr>
          <w:p w:rsidR="008423E4" w:rsidRPr="00861995" w:rsidRDefault="00FA20E7" w:rsidP="00345119">
            <w:pPr>
              <w:jc w:val="right"/>
            </w:pPr>
            <w:r>
              <w:t>C.S.H.B. 3040</w:t>
            </w:r>
          </w:p>
        </w:tc>
      </w:tr>
      <w:tr w:rsidR="00C96C04" w:rsidTr="00345119">
        <w:tc>
          <w:tcPr>
            <w:tcW w:w="9576" w:type="dxa"/>
          </w:tcPr>
          <w:p w:rsidR="008423E4" w:rsidRPr="00861995" w:rsidRDefault="00FA20E7" w:rsidP="008414EC">
            <w:pPr>
              <w:jc w:val="right"/>
            </w:pPr>
            <w:r>
              <w:t xml:space="preserve">By: </w:t>
            </w:r>
            <w:r>
              <w:t>Hunter</w:t>
            </w:r>
          </w:p>
        </w:tc>
      </w:tr>
      <w:tr w:rsidR="00C96C04" w:rsidTr="00345119">
        <w:tc>
          <w:tcPr>
            <w:tcW w:w="9576" w:type="dxa"/>
          </w:tcPr>
          <w:p w:rsidR="008423E4" w:rsidRPr="00861995" w:rsidRDefault="00FA20E7" w:rsidP="00345119">
            <w:pPr>
              <w:jc w:val="right"/>
            </w:pPr>
            <w:r>
              <w:t>House Administration</w:t>
            </w:r>
          </w:p>
        </w:tc>
      </w:tr>
      <w:tr w:rsidR="00C96C04" w:rsidTr="00345119">
        <w:tc>
          <w:tcPr>
            <w:tcW w:w="9576" w:type="dxa"/>
          </w:tcPr>
          <w:p w:rsidR="008423E4" w:rsidRDefault="00FA20E7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A20E7" w:rsidP="008423E4">
      <w:pPr>
        <w:tabs>
          <w:tab w:val="right" w:pos="9360"/>
        </w:tabs>
      </w:pPr>
    </w:p>
    <w:p w:rsidR="008423E4" w:rsidRDefault="00FA20E7" w:rsidP="008423E4"/>
    <w:p w:rsidR="008423E4" w:rsidRDefault="00FA20E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96C04" w:rsidTr="00345119">
        <w:tc>
          <w:tcPr>
            <w:tcW w:w="9576" w:type="dxa"/>
          </w:tcPr>
          <w:p w:rsidR="008423E4" w:rsidRPr="00A8133F" w:rsidRDefault="00FA20E7" w:rsidP="00274B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A20E7" w:rsidP="00274BF4"/>
          <w:p w:rsidR="008423E4" w:rsidRDefault="00FA20E7" w:rsidP="00274BF4">
            <w:pPr>
              <w:pStyle w:val="Header"/>
              <w:jc w:val="both"/>
            </w:pPr>
            <w:r>
              <w:t xml:space="preserve">There have been calls to assess the methods by which </w:t>
            </w:r>
            <w:r>
              <w:t xml:space="preserve">certain trial and appellate judges </w:t>
            </w:r>
            <w:r>
              <w:t xml:space="preserve">are selected for office in Texas. </w:t>
            </w:r>
            <w:r>
              <w:t>C.S.</w:t>
            </w:r>
            <w:r>
              <w:t>H.B. 3040 seeks to address this issue by providing for a study of</w:t>
            </w:r>
            <w:r>
              <w:t>, among other related topics,</w:t>
            </w:r>
            <w:r>
              <w:t xml:space="preserve"> </w:t>
            </w:r>
            <w:r>
              <w:t>the fairness, effectiveness, and desirability of selecting a judicial officer through partisan elections.</w:t>
            </w:r>
          </w:p>
          <w:p w:rsidR="008423E4" w:rsidRPr="00E26B13" w:rsidRDefault="00FA20E7" w:rsidP="00274BF4">
            <w:pPr>
              <w:rPr>
                <w:b/>
              </w:rPr>
            </w:pPr>
          </w:p>
        </w:tc>
      </w:tr>
      <w:tr w:rsidR="00C96C04" w:rsidTr="00345119">
        <w:tc>
          <w:tcPr>
            <w:tcW w:w="9576" w:type="dxa"/>
          </w:tcPr>
          <w:p w:rsidR="0017725B" w:rsidRDefault="00FA20E7" w:rsidP="00274B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A20E7" w:rsidP="00274BF4">
            <w:pPr>
              <w:rPr>
                <w:b/>
                <w:u w:val="single"/>
              </w:rPr>
            </w:pPr>
          </w:p>
          <w:p w:rsidR="0034599A" w:rsidRPr="0034599A" w:rsidRDefault="00FA20E7" w:rsidP="00274BF4">
            <w:pPr>
              <w:jc w:val="both"/>
            </w:pPr>
            <w:r>
              <w:t>It is the committee's opinio</w:t>
            </w:r>
            <w:r>
              <w:t>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FA20E7" w:rsidP="00274BF4">
            <w:pPr>
              <w:rPr>
                <w:b/>
                <w:u w:val="single"/>
              </w:rPr>
            </w:pPr>
          </w:p>
        </w:tc>
      </w:tr>
      <w:tr w:rsidR="00C96C04" w:rsidTr="00345119">
        <w:tc>
          <w:tcPr>
            <w:tcW w:w="9576" w:type="dxa"/>
          </w:tcPr>
          <w:p w:rsidR="008423E4" w:rsidRPr="00A8133F" w:rsidRDefault="00FA20E7" w:rsidP="00274B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</w:t>
            </w:r>
            <w:r w:rsidRPr="009C1E9A">
              <w:rPr>
                <w:b/>
                <w:u w:val="single"/>
              </w:rPr>
              <w:t xml:space="preserve"> AUTHORITY</w:t>
            </w:r>
            <w:r>
              <w:rPr>
                <w:b/>
              </w:rPr>
              <w:t xml:space="preserve"> </w:t>
            </w:r>
          </w:p>
          <w:p w:rsidR="008423E4" w:rsidRDefault="00FA20E7" w:rsidP="00274BF4"/>
          <w:p w:rsidR="0034599A" w:rsidRDefault="00FA20E7" w:rsidP="00274B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FA20E7" w:rsidP="00274BF4">
            <w:pPr>
              <w:rPr>
                <w:b/>
              </w:rPr>
            </w:pPr>
          </w:p>
        </w:tc>
      </w:tr>
      <w:tr w:rsidR="00C96C04" w:rsidTr="00345119">
        <w:tc>
          <w:tcPr>
            <w:tcW w:w="9576" w:type="dxa"/>
          </w:tcPr>
          <w:p w:rsidR="008423E4" w:rsidRPr="00A8133F" w:rsidRDefault="00FA20E7" w:rsidP="00274B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A20E7" w:rsidP="00274BF4"/>
          <w:p w:rsidR="00407A6E" w:rsidRDefault="00FA20E7" w:rsidP="00274BF4">
            <w:pPr>
              <w:pStyle w:val="Header"/>
              <w:tabs>
                <w:tab w:val="left" w:pos="1080"/>
              </w:tabs>
              <w:jc w:val="both"/>
            </w:pPr>
            <w:r>
              <w:t>C.S.</w:t>
            </w:r>
            <w:r>
              <w:t xml:space="preserve">H.B. 3040 </w:t>
            </w:r>
            <w:r>
              <w:tab/>
            </w:r>
            <w:r>
              <w:t>establish</w:t>
            </w:r>
            <w:r>
              <w:t>es</w:t>
            </w:r>
            <w:r>
              <w:t xml:space="preserve"> the </w:t>
            </w:r>
            <w:r>
              <w:t xml:space="preserve">15-member </w:t>
            </w:r>
            <w:r>
              <w:t>Texas Commission on Judicial Selection</w:t>
            </w:r>
            <w:r>
              <w:t xml:space="preserve"> to study and review the method by which </w:t>
            </w:r>
            <w:r>
              <w:t xml:space="preserve">statutory county court </w:t>
            </w:r>
            <w:r>
              <w:t>judges</w:t>
            </w:r>
            <w:r>
              <w:t xml:space="preserve">, </w:t>
            </w:r>
            <w:r>
              <w:t xml:space="preserve">probate court judges, </w:t>
            </w:r>
            <w:r>
              <w:t>district judges,</w:t>
            </w:r>
            <w:r>
              <w:t xml:space="preserve"> </w:t>
            </w:r>
            <w:r>
              <w:t>justices of the courts of appeals, judges of the court of criminal appeals</w:t>
            </w:r>
            <w:r>
              <w:t xml:space="preserve">, and justices of the </w:t>
            </w:r>
            <w:r>
              <w:t>Texas S</w:t>
            </w:r>
            <w:r>
              <w:t>upre</w:t>
            </w:r>
            <w:r>
              <w:t xml:space="preserve">me </w:t>
            </w:r>
            <w:r>
              <w:t>C</w:t>
            </w:r>
            <w:r>
              <w:t xml:space="preserve">ourt </w:t>
            </w:r>
            <w:r>
              <w:t>are selected for office in Texas</w:t>
            </w:r>
            <w:r>
              <w:t xml:space="preserve">. The bill </w:t>
            </w:r>
            <w:r>
              <w:t>provides for the appointment and</w:t>
            </w:r>
            <w:r>
              <w:t xml:space="preserve"> composition </w:t>
            </w:r>
            <w:r>
              <w:t xml:space="preserve">of the commission </w:t>
            </w:r>
            <w:r>
              <w:t xml:space="preserve">and </w:t>
            </w:r>
            <w:r>
              <w:t xml:space="preserve">provides for its </w:t>
            </w:r>
            <w:r>
              <w:t>administration</w:t>
            </w:r>
            <w:r>
              <w:t xml:space="preserve"> and operation.</w:t>
            </w:r>
            <w:r>
              <w:t xml:space="preserve"> </w:t>
            </w:r>
          </w:p>
          <w:p w:rsidR="00407A6E" w:rsidRDefault="00FA20E7" w:rsidP="00274BF4">
            <w:pPr>
              <w:pStyle w:val="Header"/>
              <w:tabs>
                <w:tab w:val="left" w:pos="1080"/>
              </w:tabs>
              <w:jc w:val="both"/>
            </w:pPr>
          </w:p>
          <w:p w:rsidR="00407A6E" w:rsidRDefault="00FA20E7" w:rsidP="00274BF4">
            <w:pPr>
              <w:pStyle w:val="Header"/>
              <w:tabs>
                <w:tab w:val="left" w:pos="1080"/>
              </w:tabs>
              <w:jc w:val="both"/>
            </w:pPr>
            <w:r>
              <w:t>C.S.H.B. 3040</w:t>
            </w:r>
            <w:r>
              <w:t xml:space="preserve"> sets out certain </w:t>
            </w:r>
            <w:r>
              <w:t>topics</w:t>
            </w:r>
            <w:r>
              <w:t xml:space="preserve"> the study must consider and </w:t>
            </w:r>
            <w:r>
              <w:t xml:space="preserve">requires the </w:t>
            </w:r>
            <w:r>
              <w:t>commissio</w:t>
            </w:r>
            <w:r>
              <w:t>n</w:t>
            </w:r>
            <w:r>
              <w:t>, not later than December 31, 2020, to</w:t>
            </w:r>
            <w:r>
              <w:t xml:space="preserve"> submit to the governor and the legislature a</w:t>
            </w:r>
            <w:r>
              <w:t xml:space="preserve"> report</w:t>
            </w:r>
            <w:r>
              <w:t xml:space="preserve"> on</w:t>
            </w:r>
            <w:r w:rsidRPr="0034599A">
              <w:t xml:space="preserve"> the </w:t>
            </w:r>
            <w:r>
              <w:t>commission's</w:t>
            </w:r>
            <w:r w:rsidRPr="0034599A">
              <w:t xml:space="preserve"> findings and recommendations </w:t>
            </w:r>
            <w:r>
              <w:t>on a met</w:t>
            </w:r>
            <w:r>
              <w:t>hod or methods for selecting</w:t>
            </w:r>
            <w:r>
              <w:t xml:space="preserve"> j</w:t>
            </w:r>
            <w:r>
              <w:t xml:space="preserve">udges for </w:t>
            </w:r>
            <w:r>
              <w:t xml:space="preserve">such </w:t>
            </w:r>
            <w:r>
              <w:t>judicial offices</w:t>
            </w:r>
            <w:r>
              <w:t xml:space="preserve"> that ensure a fair, impartial, qualified, com</w:t>
            </w:r>
            <w:r>
              <w:t xml:space="preserve">petent, and stable judiciary. </w:t>
            </w:r>
            <w:r>
              <w:t xml:space="preserve">The bill requires the commission to </w:t>
            </w:r>
            <w:r w:rsidRPr="00837E66">
              <w:t>include in its recommendations specific constitutional and statutory changes that appear necessary from the results of the study</w:t>
            </w:r>
            <w:r>
              <w:t>.</w:t>
            </w:r>
            <w:r w:rsidRPr="00837E66">
              <w:t xml:space="preserve"> </w:t>
            </w:r>
          </w:p>
          <w:p w:rsidR="00407A6E" w:rsidRDefault="00FA20E7" w:rsidP="00274BF4">
            <w:pPr>
              <w:pStyle w:val="Header"/>
              <w:tabs>
                <w:tab w:val="left" w:pos="1080"/>
              </w:tabs>
              <w:jc w:val="both"/>
            </w:pPr>
          </w:p>
          <w:p w:rsidR="0034599A" w:rsidRDefault="00FA20E7" w:rsidP="00274BF4">
            <w:pPr>
              <w:pStyle w:val="Header"/>
              <w:tabs>
                <w:tab w:val="left" w:pos="1080"/>
              </w:tabs>
              <w:jc w:val="both"/>
            </w:pPr>
            <w:r>
              <w:t xml:space="preserve">C.S.H.B. 3040 requires the </w:t>
            </w:r>
            <w:r>
              <w:t xml:space="preserve">Office of Court Administration </w:t>
            </w:r>
            <w:r>
              <w:t xml:space="preserve">of the Texas Judicial System (OCA) </w:t>
            </w:r>
            <w:r>
              <w:t>to provide</w:t>
            </w:r>
            <w:r>
              <w:t xml:space="preserve"> necessary administrative support to the commission</w:t>
            </w:r>
            <w:r>
              <w:t>.</w:t>
            </w:r>
            <w:r>
              <w:t xml:space="preserve"> OCA </w:t>
            </w:r>
            <w:r>
              <w:t xml:space="preserve">is required </w:t>
            </w:r>
            <w:r>
              <w:t xml:space="preserve">to implement a provision of the bill </w:t>
            </w:r>
            <w:r>
              <w:t>only if</w:t>
            </w:r>
            <w:r>
              <w:t xml:space="preserve"> the legislature appropriat</w:t>
            </w:r>
            <w:r>
              <w:t>es</w:t>
            </w:r>
            <w:r>
              <w:t xml:space="preserve"> money specifically for that purpose</w:t>
            </w:r>
            <w:r>
              <w:t xml:space="preserve"> and may, but is not required to,</w:t>
            </w:r>
            <w:r>
              <w:t xml:space="preserve"> implement a provision of the bill using other appropriations available for that purpose</w:t>
            </w:r>
            <w:r>
              <w:t xml:space="preserve">. </w:t>
            </w:r>
            <w:r>
              <w:t xml:space="preserve">The </w:t>
            </w:r>
            <w:r>
              <w:t>commission</w:t>
            </w:r>
            <w:r>
              <w:t xml:space="preserve"> is abolished and the</w:t>
            </w:r>
            <w:r>
              <w:t xml:space="preserve"> bill's </w:t>
            </w:r>
            <w:r>
              <w:t xml:space="preserve">provisions </w:t>
            </w:r>
            <w:r>
              <w:t>expire January</w:t>
            </w:r>
            <w:r>
              <w:t xml:space="preserve"> </w:t>
            </w:r>
            <w:r>
              <w:t>2</w:t>
            </w:r>
            <w:r>
              <w:t>, 2021.</w:t>
            </w:r>
          </w:p>
          <w:p w:rsidR="008423E4" w:rsidRPr="00835628" w:rsidRDefault="00FA20E7" w:rsidP="00274BF4">
            <w:pPr>
              <w:rPr>
                <w:b/>
              </w:rPr>
            </w:pPr>
          </w:p>
        </w:tc>
      </w:tr>
      <w:tr w:rsidR="00C96C04" w:rsidTr="00345119">
        <w:tc>
          <w:tcPr>
            <w:tcW w:w="9576" w:type="dxa"/>
          </w:tcPr>
          <w:p w:rsidR="008423E4" w:rsidRPr="00A8133F" w:rsidRDefault="00FA20E7" w:rsidP="00274B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A20E7" w:rsidP="00274BF4"/>
          <w:p w:rsidR="008423E4" w:rsidRPr="003624F2" w:rsidRDefault="00FA20E7" w:rsidP="00274B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2019.</w:t>
            </w:r>
          </w:p>
          <w:p w:rsidR="008423E4" w:rsidRPr="00233FDB" w:rsidRDefault="00FA20E7" w:rsidP="00274BF4">
            <w:pPr>
              <w:rPr>
                <w:b/>
              </w:rPr>
            </w:pPr>
          </w:p>
        </w:tc>
      </w:tr>
      <w:tr w:rsidR="00C96C04" w:rsidTr="00345119">
        <w:tc>
          <w:tcPr>
            <w:tcW w:w="9576" w:type="dxa"/>
          </w:tcPr>
          <w:p w:rsidR="008414EC" w:rsidRDefault="00FA20E7" w:rsidP="00274BF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A746CC" w:rsidRDefault="00FA20E7" w:rsidP="00274BF4">
            <w:pPr>
              <w:jc w:val="both"/>
            </w:pPr>
          </w:p>
          <w:p w:rsidR="00A746CC" w:rsidRDefault="00FA20E7" w:rsidP="00274BF4">
            <w:pPr>
              <w:jc w:val="both"/>
            </w:pPr>
            <w:r>
              <w:t xml:space="preserve">While C.S.H.B. 3040 may differ from the original in minor or nonsubstantive ways, the following summarizes the substantial differences between the introduced and committee substitute versions of </w:t>
            </w:r>
            <w:r>
              <w:t>the bill.</w:t>
            </w:r>
          </w:p>
          <w:p w:rsidR="00A746CC" w:rsidRDefault="00FA20E7" w:rsidP="00274BF4">
            <w:pPr>
              <w:jc w:val="both"/>
            </w:pPr>
          </w:p>
          <w:p w:rsidR="00923BB6" w:rsidRDefault="00FA20E7" w:rsidP="00274BF4">
            <w:pPr>
              <w:jc w:val="both"/>
            </w:pPr>
            <w:r>
              <w:t xml:space="preserve">The substitute </w:t>
            </w:r>
            <w:r>
              <w:t xml:space="preserve">does not </w:t>
            </w:r>
            <w:r>
              <w:t xml:space="preserve">include provisions </w:t>
            </w:r>
            <w:r>
              <w:t>establish</w:t>
            </w:r>
            <w:r>
              <w:t>ing</w:t>
            </w:r>
            <w:r>
              <w:t xml:space="preserve"> a </w:t>
            </w:r>
            <w:r>
              <w:t xml:space="preserve">legislative </w:t>
            </w:r>
            <w:r>
              <w:t>joint interim committee on judicial selection to conduct the study</w:t>
            </w:r>
            <w:r>
              <w:t xml:space="preserve"> with members appointed by the lieutenant governor and speaker of the house of representatives</w:t>
            </w:r>
            <w:r>
              <w:t xml:space="preserve"> or provisions </w:t>
            </w:r>
            <w:r>
              <w:t>relating generally to the operation of an interim committee</w:t>
            </w:r>
            <w:r>
              <w:t xml:space="preserve"> but </w:t>
            </w:r>
            <w:r>
              <w:t xml:space="preserve">includes provisions </w:t>
            </w:r>
            <w:r>
              <w:t>establish</w:t>
            </w:r>
            <w:r>
              <w:t>ing</w:t>
            </w:r>
            <w:r>
              <w:t xml:space="preserve"> </w:t>
            </w:r>
            <w:r>
              <w:t>the</w:t>
            </w:r>
            <w:r>
              <w:t xml:space="preserve"> </w:t>
            </w:r>
            <w:r>
              <w:t>Texas Commission on Judicial Selection</w:t>
            </w:r>
            <w:r>
              <w:t xml:space="preserve"> to conduct the study instead</w:t>
            </w:r>
            <w:r>
              <w:t xml:space="preserve"> and providing for the administration and operation of the commission</w:t>
            </w:r>
            <w:r>
              <w:t>. The substitute pr</w:t>
            </w:r>
            <w:r>
              <w:t>ovides for members appointed by the lieutenant governor, the speaker</w:t>
            </w:r>
            <w:r>
              <w:t xml:space="preserve"> of the house of representatives</w:t>
            </w:r>
            <w:r>
              <w:t>, the chief justice of the supreme court, the presiding judge of the court of criminal appeals, and the board of directors of the state bar</w:t>
            </w:r>
            <w:r>
              <w:t>.</w:t>
            </w:r>
            <w:r>
              <w:t xml:space="preserve"> </w:t>
            </w:r>
          </w:p>
          <w:p w:rsidR="00923BB6" w:rsidRDefault="00FA20E7" w:rsidP="00274BF4">
            <w:pPr>
              <w:jc w:val="both"/>
            </w:pPr>
            <w:r>
              <w:t xml:space="preserve"> </w:t>
            </w:r>
          </w:p>
          <w:p w:rsidR="009368F3" w:rsidRDefault="00FA20E7" w:rsidP="00274BF4">
            <w:pPr>
              <w:jc w:val="both"/>
            </w:pPr>
            <w:r>
              <w:t>The substitu</w:t>
            </w:r>
            <w:r>
              <w:t>te clarifies the judges and justices whose selection methods are to be studied and reviewed by the commission.</w:t>
            </w:r>
          </w:p>
          <w:p w:rsidR="009368F3" w:rsidRDefault="00FA20E7" w:rsidP="00274BF4">
            <w:pPr>
              <w:jc w:val="both"/>
            </w:pPr>
          </w:p>
          <w:p w:rsidR="009368F3" w:rsidRDefault="00FA20E7" w:rsidP="00274BF4">
            <w:pPr>
              <w:jc w:val="both"/>
            </w:pPr>
            <w:r>
              <w:t xml:space="preserve">The substitute adds as an additional topic of </w:t>
            </w:r>
            <w:r>
              <w:t xml:space="preserve">the </w:t>
            </w:r>
            <w:r>
              <w:t>study and review the merits of using a public member board to nominate or assess the qualifica</w:t>
            </w:r>
            <w:r>
              <w:t>tions of candidates for judicial office.</w:t>
            </w:r>
          </w:p>
          <w:p w:rsidR="009368F3" w:rsidRDefault="00FA20E7" w:rsidP="00274BF4">
            <w:pPr>
              <w:jc w:val="both"/>
            </w:pPr>
          </w:p>
          <w:p w:rsidR="00CA1594" w:rsidRDefault="00FA20E7" w:rsidP="00274BF4">
            <w:pPr>
              <w:jc w:val="both"/>
            </w:pPr>
            <w:r>
              <w:t xml:space="preserve">The substitute includes a provision requiring the </w:t>
            </w:r>
            <w:r>
              <w:t xml:space="preserve">governor, lieutenant governor, and speaker </w:t>
            </w:r>
            <w:r>
              <w:t xml:space="preserve">of the house of representatives </w:t>
            </w:r>
            <w:r>
              <w:t xml:space="preserve">to coordinate to ensure appointed commission members reflect, to the extent practicable, </w:t>
            </w:r>
            <w:r>
              <w:t>the racial, ethnic, and geographic diversity of Texas and include individuals who are attorneys and individuals who are not attorneys</w:t>
            </w:r>
            <w:r>
              <w:t>.</w:t>
            </w:r>
          </w:p>
          <w:p w:rsidR="00923BB6" w:rsidRDefault="00FA20E7" w:rsidP="00274BF4">
            <w:pPr>
              <w:jc w:val="both"/>
            </w:pPr>
          </w:p>
          <w:p w:rsidR="00B026C4" w:rsidRDefault="00FA20E7" w:rsidP="00274BF4">
            <w:pPr>
              <w:jc w:val="both"/>
            </w:pPr>
            <w:r>
              <w:t>The substitute revises the recipients of the findings and recommendations resulting from the study.</w:t>
            </w:r>
          </w:p>
          <w:p w:rsidR="00CA1594" w:rsidRDefault="00FA20E7" w:rsidP="00274BF4">
            <w:pPr>
              <w:jc w:val="both"/>
            </w:pPr>
          </w:p>
          <w:p w:rsidR="00441293" w:rsidRDefault="00FA20E7" w:rsidP="00274BF4">
            <w:pPr>
              <w:jc w:val="both"/>
            </w:pPr>
            <w:r>
              <w:t>The substitute chan</w:t>
            </w:r>
            <w:r>
              <w:t xml:space="preserve">ges the state agency required to provide certain assistance to the entity conducting the study from the Texas Legislative Council to OCA. </w:t>
            </w:r>
          </w:p>
          <w:p w:rsidR="00441293" w:rsidRDefault="00FA20E7" w:rsidP="00274BF4">
            <w:pPr>
              <w:jc w:val="both"/>
            </w:pPr>
          </w:p>
          <w:p w:rsidR="00A67A00" w:rsidRDefault="00FA20E7" w:rsidP="00274BF4">
            <w:pPr>
              <w:jc w:val="both"/>
            </w:pPr>
            <w:r>
              <w:t>The substitute includes a procedural provision</w:t>
            </w:r>
            <w:r>
              <w:t xml:space="preserve"> </w:t>
            </w:r>
            <w:r>
              <w:t>providing that</w:t>
            </w:r>
            <w:r>
              <w:t xml:space="preserve"> OCA </w:t>
            </w:r>
            <w:r>
              <w:t xml:space="preserve">is required </w:t>
            </w:r>
            <w:r>
              <w:t>to implement a provision of the bill o</w:t>
            </w:r>
            <w:r>
              <w:t>n</w:t>
            </w:r>
            <w:r>
              <w:t>ly if</w:t>
            </w:r>
            <w:r>
              <w:t xml:space="preserve"> the legislature appropriat</w:t>
            </w:r>
            <w:r>
              <w:t>es</w:t>
            </w:r>
            <w:r>
              <w:t xml:space="preserve"> money specifically for that purpose.</w:t>
            </w:r>
          </w:p>
          <w:p w:rsidR="00CA1594" w:rsidRDefault="00FA20E7" w:rsidP="00274BF4">
            <w:pPr>
              <w:jc w:val="both"/>
            </w:pPr>
          </w:p>
          <w:p w:rsidR="00A746CC" w:rsidRDefault="00FA20E7" w:rsidP="00274BF4">
            <w:pPr>
              <w:jc w:val="both"/>
            </w:pPr>
            <w:r>
              <w:t xml:space="preserve">The substitute changes the </w:t>
            </w:r>
            <w:r>
              <w:t>applicable expiration and abolishment dates.</w:t>
            </w:r>
          </w:p>
          <w:p w:rsidR="00A746CC" w:rsidRPr="00A746CC" w:rsidRDefault="00FA20E7" w:rsidP="00274BF4">
            <w:pPr>
              <w:jc w:val="both"/>
            </w:pPr>
          </w:p>
        </w:tc>
      </w:tr>
    </w:tbl>
    <w:p w:rsidR="008423E4" w:rsidRPr="00BE0E75" w:rsidRDefault="00FA20E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A20E7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20E7">
      <w:r>
        <w:separator/>
      </w:r>
    </w:p>
  </w:endnote>
  <w:endnote w:type="continuationSeparator" w:id="0">
    <w:p w:rsidR="00000000" w:rsidRDefault="00FA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6" w:rsidRDefault="00FA2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6C04" w:rsidTr="009C1E9A">
      <w:trPr>
        <w:cantSplit/>
      </w:trPr>
      <w:tc>
        <w:tcPr>
          <w:tcW w:w="0" w:type="pct"/>
        </w:tcPr>
        <w:p w:rsidR="00137D90" w:rsidRDefault="00FA20E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A20E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A20E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A20E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A20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6C04" w:rsidTr="009C1E9A">
      <w:trPr>
        <w:cantSplit/>
      </w:trPr>
      <w:tc>
        <w:tcPr>
          <w:tcW w:w="0" w:type="pct"/>
        </w:tcPr>
        <w:p w:rsidR="00EC379B" w:rsidRDefault="00FA20E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A20E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30738</w:t>
          </w:r>
        </w:p>
      </w:tc>
      <w:tc>
        <w:tcPr>
          <w:tcW w:w="2453" w:type="pct"/>
        </w:tcPr>
        <w:p w:rsidR="00EC379B" w:rsidRDefault="00FA20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19.120.871</w:t>
          </w:r>
          <w:r>
            <w:fldChar w:fldCharType="end"/>
          </w:r>
        </w:p>
      </w:tc>
    </w:tr>
    <w:tr w:rsidR="00C96C04" w:rsidTr="009C1E9A">
      <w:trPr>
        <w:cantSplit/>
      </w:trPr>
      <w:tc>
        <w:tcPr>
          <w:tcW w:w="0" w:type="pct"/>
        </w:tcPr>
        <w:p w:rsidR="00EC379B" w:rsidRDefault="00FA20E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A20E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30587</w:t>
          </w:r>
        </w:p>
      </w:tc>
      <w:tc>
        <w:tcPr>
          <w:tcW w:w="2453" w:type="pct"/>
        </w:tcPr>
        <w:p w:rsidR="00EC379B" w:rsidRDefault="00FA20E7" w:rsidP="006D504F">
          <w:pPr>
            <w:pStyle w:val="Footer"/>
            <w:rPr>
              <w:rStyle w:val="PageNumber"/>
            </w:rPr>
          </w:pPr>
        </w:p>
        <w:p w:rsidR="00EC379B" w:rsidRDefault="00FA20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6C0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A20E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FA20E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A20E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6" w:rsidRDefault="00FA2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20E7">
      <w:r>
        <w:separator/>
      </w:r>
    </w:p>
  </w:footnote>
  <w:footnote w:type="continuationSeparator" w:id="0">
    <w:p w:rsidR="00000000" w:rsidRDefault="00FA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6" w:rsidRDefault="00FA2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6" w:rsidRDefault="00FA2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6" w:rsidRDefault="00FA2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A5E65"/>
    <w:multiLevelType w:val="hybridMultilevel"/>
    <w:tmpl w:val="0F06A122"/>
    <w:lvl w:ilvl="0" w:tplc="C90C6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A6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80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22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6D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00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CB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0A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0C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F0ED8"/>
    <w:multiLevelType w:val="hybridMultilevel"/>
    <w:tmpl w:val="33AA51EE"/>
    <w:lvl w:ilvl="0" w:tplc="3ED4B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0C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EC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B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E7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63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A0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C2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C4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04"/>
    <w:rsid w:val="00C96C04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F8E990-359A-482B-8CEC-D5B65B1B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459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59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59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5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599A"/>
    <w:rPr>
      <w:b/>
      <w:bCs/>
    </w:rPr>
  </w:style>
  <w:style w:type="paragraph" w:styleId="Revision">
    <w:name w:val="Revision"/>
    <w:hidden/>
    <w:uiPriority w:val="99"/>
    <w:semiHidden/>
    <w:rsid w:val="006F2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3973</Characters>
  <Application>Microsoft Office Word</Application>
  <DocSecurity>4</DocSecurity>
  <Lines>92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HB03040 (Committee Report (Substituted))</vt:lpstr>
    </vt:vector>
  </TitlesOfParts>
  <Company>State of Texas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30738</dc:subject>
  <dc:creator>State of Texas</dc:creator>
  <dc:description>HB 3040 by Hunter-(H)House Administration (Substitute Document Number: 86R 30587)</dc:description>
  <cp:lastModifiedBy>Erin Conway</cp:lastModifiedBy>
  <cp:revision>2</cp:revision>
  <cp:lastPrinted>2019-04-30T18:58:00Z</cp:lastPrinted>
  <dcterms:created xsi:type="dcterms:W3CDTF">2019-04-30T23:46:00Z</dcterms:created>
  <dcterms:modified xsi:type="dcterms:W3CDTF">2019-04-30T23:46:00Z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19.120.871</vt:lpwstr>
  </property>
</Properties>
</file>