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02128B" w:rsidTr="00345119">
        <w:tc>
          <w:tcPr>
            <w:tcW w:w="9576" w:type="dxa"/>
            <w:noWrap/>
          </w:tcPr>
          <w:p w:rsidR="008423E4" w:rsidRPr="0022177D" w:rsidRDefault="00F935A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935A0" w:rsidP="008423E4">
      <w:pPr>
        <w:jc w:val="center"/>
      </w:pPr>
    </w:p>
    <w:p w:rsidR="008423E4" w:rsidRPr="00B31F0E" w:rsidRDefault="00F935A0" w:rsidP="008423E4"/>
    <w:p w:rsidR="008423E4" w:rsidRPr="00742794" w:rsidRDefault="00F935A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2128B" w:rsidTr="00345119">
        <w:tc>
          <w:tcPr>
            <w:tcW w:w="9576" w:type="dxa"/>
          </w:tcPr>
          <w:p w:rsidR="008423E4" w:rsidRPr="00861995" w:rsidRDefault="00F935A0" w:rsidP="00345119">
            <w:pPr>
              <w:jc w:val="right"/>
            </w:pPr>
            <w:r>
              <w:t>H.B. 3059</w:t>
            </w:r>
          </w:p>
        </w:tc>
      </w:tr>
      <w:tr w:rsidR="0002128B" w:rsidTr="00345119">
        <w:tc>
          <w:tcPr>
            <w:tcW w:w="9576" w:type="dxa"/>
          </w:tcPr>
          <w:p w:rsidR="008423E4" w:rsidRPr="00861995" w:rsidRDefault="00F935A0" w:rsidP="00CC74A7">
            <w:pPr>
              <w:jc w:val="right"/>
            </w:pPr>
            <w:r>
              <w:t xml:space="preserve">By: </w:t>
            </w:r>
            <w:r>
              <w:t>Holland</w:t>
            </w:r>
          </w:p>
        </w:tc>
      </w:tr>
      <w:tr w:rsidR="0002128B" w:rsidTr="00345119">
        <w:tc>
          <w:tcPr>
            <w:tcW w:w="9576" w:type="dxa"/>
          </w:tcPr>
          <w:p w:rsidR="008423E4" w:rsidRPr="00861995" w:rsidRDefault="00F935A0" w:rsidP="00345119">
            <w:pPr>
              <w:jc w:val="right"/>
            </w:pPr>
            <w:r>
              <w:t>Transportation</w:t>
            </w:r>
          </w:p>
        </w:tc>
      </w:tr>
      <w:tr w:rsidR="0002128B" w:rsidTr="00345119">
        <w:tc>
          <w:tcPr>
            <w:tcW w:w="9576" w:type="dxa"/>
          </w:tcPr>
          <w:p w:rsidR="008423E4" w:rsidRDefault="00F935A0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F935A0" w:rsidP="008423E4">
      <w:pPr>
        <w:tabs>
          <w:tab w:val="right" w:pos="9360"/>
        </w:tabs>
      </w:pPr>
    </w:p>
    <w:p w:rsidR="008423E4" w:rsidRDefault="00F935A0" w:rsidP="008423E4"/>
    <w:p w:rsidR="008423E4" w:rsidRDefault="00F935A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02128B" w:rsidTr="00345119">
        <w:tc>
          <w:tcPr>
            <w:tcW w:w="9576" w:type="dxa"/>
          </w:tcPr>
          <w:p w:rsidR="008423E4" w:rsidRPr="00A8133F" w:rsidRDefault="00F935A0" w:rsidP="003E5DC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935A0" w:rsidP="003E5DC0"/>
          <w:p w:rsidR="008423E4" w:rsidRDefault="00F935A0" w:rsidP="003E5DC0">
            <w:pPr>
              <w:pStyle w:val="Header"/>
              <w:jc w:val="both"/>
            </w:pPr>
            <w:r>
              <w:t>W</w:t>
            </w:r>
            <w:r>
              <w:t>hile</w:t>
            </w:r>
            <w:r>
              <w:t xml:space="preserve"> </w:t>
            </w:r>
            <w:r>
              <w:t>a large volume of</w:t>
            </w:r>
            <w:r>
              <w:t xml:space="preserve"> cars </w:t>
            </w:r>
            <w:r>
              <w:t xml:space="preserve">are </w:t>
            </w:r>
            <w:r>
              <w:t>sold by dealers every year</w:t>
            </w:r>
            <w:r>
              <w:t xml:space="preserve"> in Texas</w:t>
            </w:r>
            <w:r>
              <w:t>,</w:t>
            </w:r>
            <w:r>
              <w:t xml:space="preserve"> it has been suggested that</w:t>
            </w:r>
            <w:r>
              <w:t xml:space="preserve"> only a very small percentage of buyers have a preference as to </w:t>
            </w:r>
            <w:r>
              <w:t xml:space="preserve">which </w:t>
            </w:r>
            <w:r>
              <w:t xml:space="preserve">county the vehicle title application is made. </w:t>
            </w:r>
            <w:r>
              <w:t>H.B. 3059 seeks to</w:t>
            </w:r>
            <w:r>
              <w:t xml:space="preserve"> allow for a more efficient closing process on the sale of a vehicle</w:t>
            </w:r>
            <w:r>
              <w:t xml:space="preserve"> by</w:t>
            </w:r>
            <w:r>
              <w:t xml:space="preserve"> </w:t>
            </w:r>
            <w:r>
              <w:t>providing the option for buyers to notify the deal</w:t>
            </w:r>
            <w:r>
              <w:t>er if they have a preference for such a county</w:t>
            </w:r>
            <w:r>
              <w:t>.</w:t>
            </w:r>
          </w:p>
          <w:p w:rsidR="008423E4" w:rsidRPr="00E26B13" w:rsidRDefault="00F935A0" w:rsidP="003E5DC0">
            <w:pPr>
              <w:rPr>
                <w:b/>
              </w:rPr>
            </w:pPr>
          </w:p>
        </w:tc>
      </w:tr>
      <w:tr w:rsidR="0002128B" w:rsidTr="00345119">
        <w:tc>
          <w:tcPr>
            <w:tcW w:w="9576" w:type="dxa"/>
          </w:tcPr>
          <w:p w:rsidR="0017725B" w:rsidRDefault="00F935A0" w:rsidP="003E5DC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935A0" w:rsidP="003E5DC0">
            <w:pPr>
              <w:rPr>
                <w:b/>
                <w:u w:val="single"/>
              </w:rPr>
            </w:pPr>
          </w:p>
          <w:p w:rsidR="002545BC" w:rsidRPr="002545BC" w:rsidRDefault="00F935A0" w:rsidP="003E5DC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</w:t>
            </w:r>
            <w:r>
              <w:t>e the eligibility of a person for community supervision, parole, or mandatory supervision.</w:t>
            </w:r>
          </w:p>
          <w:p w:rsidR="0017725B" w:rsidRPr="0017725B" w:rsidRDefault="00F935A0" w:rsidP="003E5DC0">
            <w:pPr>
              <w:rPr>
                <w:b/>
                <w:u w:val="single"/>
              </w:rPr>
            </w:pPr>
          </w:p>
        </w:tc>
      </w:tr>
      <w:tr w:rsidR="0002128B" w:rsidTr="00345119">
        <w:tc>
          <w:tcPr>
            <w:tcW w:w="9576" w:type="dxa"/>
          </w:tcPr>
          <w:p w:rsidR="008423E4" w:rsidRPr="00A8133F" w:rsidRDefault="00F935A0" w:rsidP="003E5DC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935A0" w:rsidP="003E5DC0"/>
          <w:p w:rsidR="002545BC" w:rsidRDefault="00F935A0" w:rsidP="003E5D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</w:t>
            </w:r>
            <w:r>
              <w:t>agency, or institution.</w:t>
            </w:r>
          </w:p>
          <w:p w:rsidR="008423E4" w:rsidRPr="00E21FDC" w:rsidRDefault="00F935A0" w:rsidP="003E5DC0">
            <w:pPr>
              <w:rPr>
                <w:b/>
              </w:rPr>
            </w:pPr>
          </w:p>
        </w:tc>
      </w:tr>
      <w:tr w:rsidR="0002128B" w:rsidTr="00345119">
        <w:tc>
          <w:tcPr>
            <w:tcW w:w="9576" w:type="dxa"/>
          </w:tcPr>
          <w:p w:rsidR="008423E4" w:rsidRPr="00A8133F" w:rsidRDefault="00F935A0" w:rsidP="003E5DC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935A0" w:rsidP="003E5DC0"/>
          <w:p w:rsidR="0078616F" w:rsidRDefault="00F935A0" w:rsidP="003E5D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3059 amends the Transportation Code to </w:t>
            </w:r>
            <w:r>
              <w:t>change the county in which a seller who applies for the registration of or a ti</w:t>
            </w:r>
            <w:r>
              <w:t>t</w:t>
            </w:r>
            <w:r>
              <w:t xml:space="preserve">le for a motor vehicle </w:t>
            </w:r>
            <w:r>
              <w:t>when purchasing from a dealer who holds the requisite general distinguis</w:t>
            </w:r>
            <w:r>
              <w:t xml:space="preserve">hing number </w:t>
            </w:r>
            <w:r>
              <w:t>must</w:t>
            </w:r>
            <w:r>
              <w:t xml:space="preserve"> apply from </w:t>
            </w:r>
            <w:r>
              <w:t>a</w:t>
            </w:r>
            <w:r>
              <w:t xml:space="preserve"> county as directed by the purchaser</w:t>
            </w:r>
            <w:r>
              <w:t xml:space="preserve"> to</w:t>
            </w:r>
            <w:r>
              <w:t>:</w:t>
            </w:r>
          </w:p>
          <w:p w:rsidR="0078616F" w:rsidRDefault="00F935A0" w:rsidP="003E5DC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the county in which the motor vehicle is purchased; or </w:t>
            </w:r>
          </w:p>
          <w:p w:rsidR="00F14C6D" w:rsidRDefault="00F935A0" w:rsidP="003E5DC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a county that is agreed upon by the seller and purchaser in which the owner of the vehicle is domiciled</w:t>
            </w:r>
            <w:r>
              <w:t xml:space="preserve"> or in which </w:t>
            </w:r>
            <w:r>
              <w:t>the motor vehi</w:t>
            </w:r>
            <w:r>
              <w:t>cle is purchased or encumbered</w:t>
            </w:r>
            <w:r>
              <w:t xml:space="preserve"> </w:t>
            </w:r>
            <w:r>
              <w:t xml:space="preserve">or the </w:t>
            </w:r>
            <w:r>
              <w:t xml:space="preserve">county in which the </w:t>
            </w:r>
            <w:r>
              <w:t xml:space="preserve">applicable </w:t>
            </w:r>
            <w:r>
              <w:t xml:space="preserve">county assessor-collector is willing to accept the application </w:t>
            </w:r>
            <w:r w:rsidRPr="002A5F06">
              <w:t>if the county assessor-collector's office of the county in which the owner resides is closed or may be closed for a protract</w:t>
            </w:r>
            <w:r w:rsidRPr="002A5F06">
              <w:t>ed period</w:t>
            </w:r>
            <w:r>
              <w:t>.</w:t>
            </w:r>
            <w:r>
              <w:t xml:space="preserve"> </w:t>
            </w:r>
          </w:p>
          <w:p w:rsidR="00F14C6D" w:rsidRDefault="00F935A0" w:rsidP="003E5D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423E4" w:rsidRDefault="00F935A0" w:rsidP="003E5D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3059 </w:t>
            </w:r>
            <w:r>
              <w:t xml:space="preserve">repeals the requirement for </w:t>
            </w:r>
            <w:r>
              <w:t xml:space="preserve">the Texas Department of Motor Vehicles </w:t>
            </w:r>
            <w:r>
              <w:t xml:space="preserve">to develop a form or electronic process in which the purchaser of a motor vehicle </w:t>
            </w:r>
            <w:r>
              <w:t>must</w:t>
            </w:r>
            <w:r>
              <w:t xml:space="preserve"> designate the purchaser's choice</w:t>
            </w:r>
            <w:r>
              <w:t xml:space="preserve"> of county as the recipient of all taxes, fees,</w:t>
            </w:r>
            <w:r>
              <w:t xml:space="preserve"> and other revenue collected as a result of the transaction.</w:t>
            </w:r>
          </w:p>
          <w:p w:rsidR="004907AC" w:rsidRDefault="00F935A0" w:rsidP="003E5D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br/>
              <w:t>H.B. 3059 repeals Section 501.0234(e), Transportation Code</w:t>
            </w:r>
            <w:r w:rsidRPr="002545BC">
              <w:t>.</w:t>
            </w:r>
            <w:r>
              <w:t xml:space="preserve"> </w:t>
            </w:r>
          </w:p>
          <w:p w:rsidR="008423E4" w:rsidRPr="00835628" w:rsidRDefault="00F935A0" w:rsidP="003E5DC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        </w:t>
            </w:r>
          </w:p>
        </w:tc>
      </w:tr>
      <w:tr w:rsidR="0002128B" w:rsidTr="00345119">
        <w:tc>
          <w:tcPr>
            <w:tcW w:w="9576" w:type="dxa"/>
          </w:tcPr>
          <w:p w:rsidR="008423E4" w:rsidRPr="00A8133F" w:rsidRDefault="00F935A0" w:rsidP="003E5DC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935A0" w:rsidP="003E5DC0"/>
          <w:p w:rsidR="008423E4" w:rsidRPr="00233FDB" w:rsidRDefault="00F935A0" w:rsidP="003E5D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</w:tc>
      </w:tr>
    </w:tbl>
    <w:p w:rsidR="008423E4" w:rsidRPr="00BE0E75" w:rsidRDefault="00F935A0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F935A0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35A0">
      <w:r>
        <w:separator/>
      </w:r>
    </w:p>
  </w:endnote>
  <w:endnote w:type="continuationSeparator" w:id="0">
    <w:p w:rsidR="00000000" w:rsidRDefault="00F9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93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2128B" w:rsidTr="009C1E9A">
      <w:trPr>
        <w:cantSplit/>
      </w:trPr>
      <w:tc>
        <w:tcPr>
          <w:tcW w:w="0" w:type="pct"/>
        </w:tcPr>
        <w:p w:rsidR="00137D90" w:rsidRDefault="00F935A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935A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935A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935A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935A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2128B" w:rsidTr="009C1E9A">
      <w:trPr>
        <w:cantSplit/>
      </w:trPr>
      <w:tc>
        <w:tcPr>
          <w:tcW w:w="0" w:type="pct"/>
        </w:tcPr>
        <w:p w:rsidR="00EC379B" w:rsidRDefault="00F935A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935A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</w:t>
          </w:r>
          <w:r>
            <w:rPr>
              <w:rFonts w:ascii="Shruti" w:hAnsi="Shruti"/>
              <w:sz w:val="22"/>
            </w:rPr>
            <w:t xml:space="preserve"> 21553</w:t>
          </w:r>
        </w:p>
      </w:tc>
      <w:tc>
        <w:tcPr>
          <w:tcW w:w="2453" w:type="pct"/>
        </w:tcPr>
        <w:p w:rsidR="00EC379B" w:rsidRDefault="00F935A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19.81.1340</w:t>
          </w:r>
          <w:r>
            <w:fldChar w:fldCharType="end"/>
          </w:r>
        </w:p>
      </w:tc>
    </w:tr>
    <w:tr w:rsidR="0002128B" w:rsidTr="009C1E9A">
      <w:trPr>
        <w:cantSplit/>
      </w:trPr>
      <w:tc>
        <w:tcPr>
          <w:tcW w:w="0" w:type="pct"/>
        </w:tcPr>
        <w:p w:rsidR="00EC379B" w:rsidRDefault="00F935A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935A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F935A0" w:rsidP="006D504F">
          <w:pPr>
            <w:pStyle w:val="Footer"/>
            <w:rPr>
              <w:rStyle w:val="PageNumber"/>
            </w:rPr>
          </w:pPr>
        </w:p>
        <w:p w:rsidR="00EC379B" w:rsidRDefault="00F935A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2128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935A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935A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935A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93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35A0">
      <w:r>
        <w:separator/>
      </w:r>
    </w:p>
  </w:footnote>
  <w:footnote w:type="continuationSeparator" w:id="0">
    <w:p w:rsidR="00000000" w:rsidRDefault="00F93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93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935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93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77E8"/>
    <w:multiLevelType w:val="hybridMultilevel"/>
    <w:tmpl w:val="B6AEA6C2"/>
    <w:lvl w:ilvl="0" w:tplc="12327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305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1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6D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E2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302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AC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A2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DC2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9685E"/>
    <w:multiLevelType w:val="hybridMultilevel"/>
    <w:tmpl w:val="36C0BED0"/>
    <w:lvl w:ilvl="0" w:tplc="F0408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7A26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E8E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6A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68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0A1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878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4C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C25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8B"/>
    <w:rsid w:val="0002128B"/>
    <w:rsid w:val="00F9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60D674-97D2-479E-ADD2-9783616A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545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45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45B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4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45BC"/>
    <w:rPr>
      <w:b/>
      <w:bCs/>
    </w:rPr>
  </w:style>
  <w:style w:type="character" w:styleId="Hyperlink">
    <w:name w:val="Hyperlink"/>
    <w:basedOn w:val="DefaultParagraphFont"/>
    <w:unhideWhenUsed/>
    <w:rsid w:val="00190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1782</Characters>
  <Application>Microsoft Office Word</Application>
  <DocSecurity>4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HB03059 (Committee Report (Unamended))</vt:lpstr>
    </vt:vector>
  </TitlesOfParts>
  <Company>State of Texas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21553</dc:subject>
  <dc:creator>State of Texas</dc:creator>
  <dc:description>HB 3059 by Holland-(H)Transportation</dc:description>
  <cp:lastModifiedBy>Stacey Nicchio</cp:lastModifiedBy>
  <cp:revision>2</cp:revision>
  <cp:lastPrinted>2003-11-26T17:21:00Z</cp:lastPrinted>
  <dcterms:created xsi:type="dcterms:W3CDTF">2019-04-11T22:34:00Z</dcterms:created>
  <dcterms:modified xsi:type="dcterms:W3CDTF">2019-04-11T22:34:00Z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19.81.1340</vt:lpwstr>
  </property>
</Properties>
</file>