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FE71B9" w:rsidTr="00345119">
        <w:tc>
          <w:tcPr>
            <w:tcW w:w="9576" w:type="dxa"/>
            <w:noWrap/>
          </w:tcPr>
          <w:p w:rsidR="008423E4" w:rsidRPr="0022177D" w:rsidRDefault="008E3CEE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8E3CEE" w:rsidP="008423E4">
      <w:pPr>
        <w:jc w:val="center"/>
      </w:pPr>
    </w:p>
    <w:p w:rsidR="008423E4" w:rsidRPr="00B31F0E" w:rsidRDefault="008E3CEE" w:rsidP="008423E4"/>
    <w:p w:rsidR="008423E4" w:rsidRPr="00742794" w:rsidRDefault="008E3CEE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E71B9" w:rsidTr="00345119">
        <w:tc>
          <w:tcPr>
            <w:tcW w:w="9576" w:type="dxa"/>
          </w:tcPr>
          <w:p w:rsidR="008423E4" w:rsidRPr="00861995" w:rsidRDefault="008E3CEE" w:rsidP="00345119">
            <w:pPr>
              <w:jc w:val="right"/>
            </w:pPr>
            <w:r>
              <w:t>C.S.H.B. 3069</w:t>
            </w:r>
          </w:p>
        </w:tc>
      </w:tr>
      <w:tr w:rsidR="00FE71B9" w:rsidTr="00345119">
        <w:tc>
          <w:tcPr>
            <w:tcW w:w="9576" w:type="dxa"/>
          </w:tcPr>
          <w:p w:rsidR="008423E4" w:rsidRPr="00861995" w:rsidRDefault="008E3CEE" w:rsidP="00B905C6">
            <w:pPr>
              <w:jc w:val="right"/>
            </w:pPr>
            <w:r>
              <w:t xml:space="preserve">By: </w:t>
            </w:r>
            <w:r>
              <w:t>González, Mary</w:t>
            </w:r>
          </w:p>
        </w:tc>
      </w:tr>
      <w:tr w:rsidR="00FE71B9" w:rsidTr="00345119">
        <w:tc>
          <w:tcPr>
            <w:tcW w:w="9576" w:type="dxa"/>
          </w:tcPr>
          <w:p w:rsidR="008423E4" w:rsidRPr="00861995" w:rsidRDefault="008E3CEE" w:rsidP="00345119">
            <w:pPr>
              <w:jc w:val="right"/>
            </w:pPr>
            <w:r>
              <w:t>Public Education</w:t>
            </w:r>
          </w:p>
        </w:tc>
      </w:tr>
      <w:tr w:rsidR="00FE71B9" w:rsidTr="00345119">
        <w:tc>
          <w:tcPr>
            <w:tcW w:w="9576" w:type="dxa"/>
          </w:tcPr>
          <w:p w:rsidR="008423E4" w:rsidRDefault="008E3CEE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8E3CEE" w:rsidP="008423E4">
      <w:pPr>
        <w:tabs>
          <w:tab w:val="right" w:pos="9360"/>
        </w:tabs>
      </w:pPr>
    </w:p>
    <w:p w:rsidR="008423E4" w:rsidRDefault="008E3CEE" w:rsidP="008423E4"/>
    <w:p w:rsidR="008423E4" w:rsidRDefault="008E3CEE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FE71B9" w:rsidTr="00345119">
        <w:tc>
          <w:tcPr>
            <w:tcW w:w="9576" w:type="dxa"/>
          </w:tcPr>
          <w:p w:rsidR="008423E4" w:rsidRPr="00A8133F" w:rsidRDefault="008E3CEE" w:rsidP="00532A0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8E3CEE" w:rsidP="00532A07"/>
          <w:p w:rsidR="008423E4" w:rsidRDefault="008E3CEE" w:rsidP="00532A07">
            <w:pPr>
              <w:pStyle w:val="Header"/>
              <w:jc w:val="both"/>
            </w:pPr>
            <w:r>
              <w:t>It has been noted that</w:t>
            </w:r>
            <w:r>
              <w:t>,</w:t>
            </w:r>
            <w:r>
              <w:t xml:space="preserve"> </w:t>
            </w:r>
            <w:r>
              <w:t>d</w:t>
            </w:r>
            <w:r>
              <w:t xml:space="preserve">espite </w:t>
            </w:r>
            <w:r>
              <w:t xml:space="preserve">ample job </w:t>
            </w:r>
            <w:r>
              <w:t>opportunities</w:t>
            </w:r>
            <w:r>
              <w:t xml:space="preserve"> and a high median wage</w:t>
            </w:r>
            <w:r>
              <w:t xml:space="preserve">, </w:t>
            </w:r>
            <w:r>
              <w:t>few</w:t>
            </w:r>
            <w:r>
              <w:t xml:space="preserve"> Texas high school students took a computer science course in the </w:t>
            </w:r>
            <w:r>
              <w:t>most recent</w:t>
            </w:r>
            <w:r>
              <w:t xml:space="preserve"> school year. </w:t>
            </w:r>
            <w:r>
              <w:t>It has been suggested</w:t>
            </w:r>
            <w:r>
              <w:t xml:space="preserve"> that one barrier to success </w:t>
            </w:r>
            <w:r>
              <w:t xml:space="preserve">in this field </w:t>
            </w:r>
            <w:r>
              <w:t xml:space="preserve">is the lack of knowledge and guidance from teachers on the opportunities in </w:t>
            </w:r>
            <w:r>
              <w:t>computer science</w:t>
            </w:r>
            <w:r>
              <w:t xml:space="preserve">. </w:t>
            </w:r>
            <w:r>
              <w:t>C.S.</w:t>
            </w:r>
            <w:r>
              <w:t>H.B</w:t>
            </w:r>
            <w:r>
              <w:t>. 3069 seeks to provide teachers the resources to obtain a computer science certification and continue professional development in coding, computational thinking, and computer science education</w:t>
            </w:r>
            <w:r>
              <w:t xml:space="preserve"> </w:t>
            </w:r>
            <w:r>
              <w:t>by creating a professional development grant program.</w:t>
            </w:r>
          </w:p>
          <w:p w:rsidR="008423E4" w:rsidRPr="00E26B13" w:rsidRDefault="008E3CEE" w:rsidP="00532A07">
            <w:pPr>
              <w:rPr>
                <w:b/>
              </w:rPr>
            </w:pPr>
          </w:p>
        </w:tc>
      </w:tr>
      <w:tr w:rsidR="00FE71B9" w:rsidTr="00345119">
        <w:tc>
          <w:tcPr>
            <w:tcW w:w="9576" w:type="dxa"/>
          </w:tcPr>
          <w:p w:rsidR="0017725B" w:rsidRDefault="008E3CEE" w:rsidP="00532A0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</w:t>
            </w:r>
            <w:r>
              <w:rPr>
                <w:b/>
                <w:u w:val="single"/>
              </w:rPr>
              <w:t>AL JUSTICE IMPACT</w:t>
            </w:r>
          </w:p>
          <w:p w:rsidR="0017725B" w:rsidRDefault="008E3CEE" w:rsidP="00532A07">
            <w:pPr>
              <w:rPr>
                <w:b/>
                <w:u w:val="single"/>
              </w:rPr>
            </w:pPr>
          </w:p>
          <w:p w:rsidR="002C51F0" w:rsidRPr="002C51F0" w:rsidRDefault="008E3CEE" w:rsidP="00532A07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</w:t>
            </w:r>
            <w:r>
              <w:t xml:space="preserve"> parole, or mandatory supervision.</w:t>
            </w:r>
          </w:p>
          <w:p w:rsidR="0017725B" w:rsidRPr="0017725B" w:rsidRDefault="008E3CEE" w:rsidP="00532A07">
            <w:pPr>
              <w:rPr>
                <w:b/>
                <w:u w:val="single"/>
              </w:rPr>
            </w:pPr>
          </w:p>
        </w:tc>
      </w:tr>
      <w:tr w:rsidR="00FE71B9" w:rsidTr="00345119">
        <w:tc>
          <w:tcPr>
            <w:tcW w:w="9576" w:type="dxa"/>
          </w:tcPr>
          <w:p w:rsidR="008423E4" w:rsidRPr="00A8133F" w:rsidRDefault="008E3CEE" w:rsidP="00532A0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8E3CEE" w:rsidP="00532A07"/>
          <w:p w:rsidR="002C51F0" w:rsidRDefault="008E3CEE" w:rsidP="00532A0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rulemaking authority is expressly granted to the commissioner of education in SECTION 1 of this bill.</w:t>
            </w:r>
          </w:p>
          <w:p w:rsidR="008423E4" w:rsidRPr="00E21FDC" w:rsidRDefault="008E3CEE" w:rsidP="00532A07">
            <w:pPr>
              <w:rPr>
                <w:b/>
              </w:rPr>
            </w:pPr>
          </w:p>
        </w:tc>
      </w:tr>
      <w:tr w:rsidR="00FE71B9" w:rsidTr="00345119">
        <w:tc>
          <w:tcPr>
            <w:tcW w:w="9576" w:type="dxa"/>
          </w:tcPr>
          <w:p w:rsidR="008423E4" w:rsidRPr="00A8133F" w:rsidRDefault="008E3CEE" w:rsidP="00532A0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8E3CEE" w:rsidP="00532A07"/>
          <w:p w:rsidR="002C314D" w:rsidRDefault="008E3CEE" w:rsidP="00532A07">
            <w:pPr>
              <w:pStyle w:val="Header"/>
              <w:jc w:val="both"/>
            </w:pPr>
            <w:r>
              <w:t>C.S.</w:t>
            </w:r>
            <w:r>
              <w:t>H.B. 3069 amends the Education Code to require the commissioner of education</w:t>
            </w:r>
            <w:r>
              <w:t xml:space="preserve"> </w:t>
            </w:r>
            <w:r>
              <w:t xml:space="preserve">to establish a </w:t>
            </w:r>
            <w:r>
              <w:t xml:space="preserve">competitive </w:t>
            </w:r>
            <w:r>
              <w:t xml:space="preserve">professional development grant program </w:t>
            </w:r>
            <w:r>
              <w:t>not later than December 31</w:t>
            </w:r>
            <w:r>
              <w:t>,</w:t>
            </w:r>
            <w:r>
              <w:t xml:space="preserve"> 2019, </w:t>
            </w:r>
            <w:r>
              <w:t>for purposes of encouraging teachers to obtain computer science certification a</w:t>
            </w:r>
            <w:r>
              <w:t xml:space="preserve">nd continue professional development in coding, computational thinking, and computer science education. The bill requires the commissioner, from funds appropriated for </w:t>
            </w:r>
            <w:r>
              <w:t>th</w:t>
            </w:r>
            <w:r>
              <w:t>e</w:t>
            </w:r>
            <w:r>
              <w:t xml:space="preserve"> </w:t>
            </w:r>
            <w:r>
              <w:t>purpose, to make grants to eligible providers that offer</w:t>
            </w:r>
            <w:r>
              <w:t>:</w:t>
            </w:r>
            <w:r>
              <w:t xml:space="preserve"> </w:t>
            </w:r>
          </w:p>
          <w:p w:rsidR="002C314D" w:rsidRDefault="008E3CEE" w:rsidP="00532A07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 xml:space="preserve">professional development </w:t>
            </w:r>
            <w:r>
              <w:t>for elementary school and middle and junior high school teachers to ensure teachers maintain a working knowledge of current computer industry standard tools</w:t>
            </w:r>
            <w:r>
              <w:t xml:space="preserve"> and resources</w:t>
            </w:r>
            <w:r>
              <w:t xml:space="preserve">; and </w:t>
            </w:r>
          </w:p>
          <w:p w:rsidR="002C314D" w:rsidRDefault="008E3CEE" w:rsidP="00532A07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>training for computer science certification for teachers in accordance with cer</w:t>
            </w:r>
            <w:r>
              <w:t xml:space="preserve">tification requirements adopted by the State Board for Educator Certification. </w:t>
            </w:r>
          </w:p>
          <w:p w:rsidR="002C314D" w:rsidRDefault="008E3CEE" w:rsidP="00532A07">
            <w:pPr>
              <w:pStyle w:val="Header"/>
              <w:jc w:val="both"/>
            </w:pPr>
          </w:p>
          <w:p w:rsidR="002C314D" w:rsidRDefault="008E3CEE" w:rsidP="00532A07">
            <w:pPr>
              <w:pStyle w:val="Header"/>
              <w:jc w:val="both"/>
            </w:pPr>
            <w:r>
              <w:t>C.S.H.B. 3069</w:t>
            </w:r>
            <w:r>
              <w:t xml:space="preserve"> </w:t>
            </w:r>
            <w:r>
              <w:t>specifies the types of providers that are eligible to receive a grant and requires a provider</w:t>
            </w:r>
            <w:r>
              <w:t>, as a condition of eligibility,</w:t>
            </w:r>
            <w:r>
              <w:t xml:space="preserve"> to meet eligibility standards estab</w:t>
            </w:r>
            <w:r>
              <w:t xml:space="preserve">lished by commissioner rule. The bill </w:t>
            </w:r>
            <w:r>
              <w:t>requires a gran</w:t>
            </w:r>
            <w:r>
              <w:t>t</w:t>
            </w:r>
            <w:r>
              <w:t xml:space="preserve"> </w:t>
            </w:r>
            <w:r>
              <w:t xml:space="preserve">recipient </w:t>
            </w:r>
            <w:r>
              <w:t>to</w:t>
            </w:r>
            <w:r>
              <w:t>:</w:t>
            </w:r>
          </w:p>
          <w:p w:rsidR="002C314D" w:rsidRDefault="008E3CEE" w:rsidP="00532A07">
            <w:pPr>
              <w:pStyle w:val="Header"/>
              <w:numPr>
                <w:ilvl w:val="0"/>
                <w:numId w:val="2"/>
              </w:numPr>
              <w:spacing w:before="120" w:after="120"/>
              <w:jc w:val="both"/>
            </w:pPr>
            <w:r>
              <w:t xml:space="preserve">provide the requisite training or professional development and establish professional development hubs in each </w:t>
            </w:r>
            <w:r>
              <w:t>education service center region</w:t>
            </w:r>
            <w:r>
              <w:t>;</w:t>
            </w:r>
            <w:r>
              <w:t xml:space="preserve"> </w:t>
            </w:r>
          </w:p>
          <w:p w:rsidR="002C314D" w:rsidRDefault="008E3CEE" w:rsidP="00532A07">
            <w:pPr>
              <w:pStyle w:val="Header"/>
              <w:numPr>
                <w:ilvl w:val="0"/>
                <w:numId w:val="2"/>
              </w:numPr>
              <w:spacing w:before="120" w:after="120"/>
              <w:jc w:val="both"/>
            </w:pPr>
            <w:r>
              <w:t xml:space="preserve">serve high-need campuses; </w:t>
            </w:r>
          </w:p>
          <w:p w:rsidR="002C314D" w:rsidRDefault="008E3CEE" w:rsidP="00532A07">
            <w:pPr>
              <w:pStyle w:val="Header"/>
              <w:numPr>
                <w:ilvl w:val="0"/>
                <w:numId w:val="2"/>
              </w:numPr>
              <w:spacing w:before="120" w:after="120"/>
              <w:jc w:val="both"/>
            </w:pPr>
            <w:r>
              <w:t>have establishe</w:t>
            </w:r>
            <w:r>
              <w:t xml:space="preserve">d partnerships with </w:t>
            </w:r>
            <w:r>
              <w:t xml:space="preserve">public </w:t>
            </w:r>
            <w:r>
              <w:t xml:space="preserve">institution of higher education faculty with expertise in computing and computer science education; and </w:t>
            </w:r>
          </w:p>
          <w:p w:rsidR="002C314D" w:rsidRDefault="008E3CEE" w:rsidP="00532A07">
            <w:pPr>
              <w:pStyle w:val="Header"/>
              <w:numPr>
                <w:ilvl w:val="0"/>
                <w:numId w:val="2"/>
              </w:numPr>
              <w:spacing w:before="120" w:after="120"/>
              <w:jc w:val="both"/>
            </w:pPr>
            <w:r>
              <w:t>develop partnerships with computer industry professionals.</w:t>
            </w:r>
            <w:r>
              <w:t xml:space="preserve"> </w:t>
            </w:r>
          </w:p>
          <w:p w:rsidR="00CA6D0A" w:rsidRDefault="008E3CEE" w:rsidP="00532A07">
            <w:pPr>
              <w:pStyle w:val="Header"/>
              <w:spacing w:before="120" w:after="120"/>
              <w:jc w:val="both"/>
            </w:pPr>
          </w:p>
          <w:p w:rsidR="008423E4" w:rsidRDefault="008E3CEE" w:rsidP="00532A07">
            <w:pPr>
              <w:pStyle w:val="Header"/>
              <w:jc w:val="both"/>
            </w:pPr>
            <w:r>
              <w:t>C.S.H.B. 3069</w:t>
            </w:r>
            <w:r>
              <w:t xml:space="preserve"> caps the total amount of grants awarded under the program for a state fiscal biennium at $4 million.</w:t>
            </w:r>
            <w:r>
              <w:t xml:space="preserve"> The bill</w:t>
            </w:r>
            <w:r>
              <w:t xml:space="preserve"> authorizes the commissioner to adopt rules as necessary to implement the </w:t>
            </w:r>
            <w:r>
              <w:t>grant program</w:t>
            </w:r>
            <w:r>
              <w:t xml:space="preserve">. </w:t>
            </w:r>
          </w:p>
          <w:p w:rsidR="008423E4" w:rsidRPr="00835628" w:rsidRDefault="008E3CEE" w:rsidP="00532A07">
            <w:pPr>
              <w:rPr>
                <w:b/>
              </w:rPr>
            </w:pPr>
          </w:p>
        </w:tc>
      </w:tr>
      <w:tr w:rsidR="00FE71B9" w:rsidTr="00345119">
        <w:tc>
          <w:tcPr>
            <w:tcW w:w="9576" w:type="dxa"/>
          </w:tcPr>
          <w:p w:rsidR="008423E4" w:rsidRPr="00A8133F" w:rsidRDefault="008E3CEE" w:rsidP="00532A0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8E3CEE" w:rsidP="00532A07"/>
          <w:p w:rsidR="008423E4" w:rsidRPr="003624F2" w:rsidRDefault="008E3CEE" w:rsidP="00532A0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if the bill does not </w:t>
            </w:r>
            <w:r>
              <w:t>receive the necessary vote, September 1, 2019.</w:t>
            </w:r>
          </w:p>
          <w:p w:rsidR="008423E4" w:rsidRPr="00233FDB" w:rsidRDefault="008E3CEE" w:rsidP="00532A07">
            <w:pPr>
              <w:rPr>
                <w:b/>
              </w:rPr>
            </w:pPr>
          </w:p>
        </w:tc>
      </w:tr>
      <w:tr w:rsidR="00FE71B9" w:rsidTr="00345119">
        <w:tc>
          <w:tcPr>
            <w:tcW w:w="9576" w:type="dxa"/>
          </w:tcPr>
          <w:p w:rsidR="00B905C6" w:rsidRDefault="008E3CEE" w:rsidP="00532A07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7E033B" w:rsidRDefault="008E3CEE" w:rsidP="00532A07">
            <w:pPr>
              <w:jc w:val="both"/>
            </w:pPr>
          </w:p>
          <w:p w:rsidR="007E033B" w:rsidRDefault="008E3CEE" w:rsidP="00532A07">
            <w:pPr>
              <w:jc w:val="both"/>
            </w:pPr>
            <w:r>
              <w:t xml:space="preserve">While C.S.H.B. 3069 may differ from the original in minor or nonsubstantive ways, the following summarizes the substantial differences between the introduced and </w:t>
            </w:r>
            <w:r>
              <w:t>committee substitute versions of the bill.</w:t>
            </w:r>
          </w:p>
          <w:p w:rsidR="007E033B" w:rsidRDefault="008E3CEE" w:rsidP="00532A07">
            <w:pPr>
              <w:jc w:val="both"/>
            </w:pPr>
          </w:p>
          <w:p w:rsidR="007E033B" w:rsidRDefault="008E3CEE" w:rsidP="00532A07">
            <w:pPr>
              <w:jc w:val="both"/>
            </w:pPr>
            <w:r>
              <w:t xml:space="preserve">The substitute includes a provision capping the total amount of grants awarded under the program for a state fiscal biennium at $4 million. </w:t>
            </w:r>
          </w:p>
          <w:p w:rsidR="007E033B" w:rsidRDefault="008E3CEE" w:rsidP="00532A07">
            <w:pPr>
              <w:jc w:val="both"/>
            </w:pPr>
          </w:p>
          <w:p w:rsidR="007E033B" w:rsidRDefault="008E3CEE" w:rsidP="00532A07">
            <w:pPr>
              <w:jc w:val="both"/>
            </w:pPr>
            <w:r>
              <w:t xml:space="preserve">The substitute </w:t>
            </w:r>
            <w:r>
              <w:t>includes a definition of "institution of higher educati</w:t>
            </w:r>
            <w:r>
              <w:t xml:space="preserve">on" that limits </w:t>
            </w:r>
            <w:r>
              <w:t>an</w:t>
            </w:r>
            <w:r>
              <w:t xml:space="preserve"> applicable institution to </w:t>
            </w:r>
            <w:r>
              <w:t>a</w:t>
            </w:r>
            <w:r>
              <w:t xml:space="preserve"> </w:t>
            </w:r>
            <w:r>
              <w:t xml:space="preserve">public institution and </w:t>
            </w:r>
            <w:r>
              <w:t xml:space="preserve">specifies that grant program is a competitive grant program. </w:t>
            </w:r>
          </w:p>
          <w:p w:rsidR="007E033B" w:rsidRPr="007E033B" w:rsidRDefault="008E3CEE" w:rsidP="00532A07">
            <w:pPr>
              <w:jc w:val="both"/>
            </w:pPr>
          </w:p>
        </w:tc>
      </w:tr>
      <w:tr w:rsidR="00FE71B9" w:rsidTr="00345119">
        <w:tc>
          <w:tcPr>
            <w:tcW w:w="9576" w:type="dxa"/>
          </w:tcPr>
          <w:p w:rsidR="00B905C6" w:rsidRPr="009C1E9A" w:rsidRDefault="008E3CEE" w:rsidP="00532A07">
            <w:pPr>
              <w:rPr>
                <w:b/>
                <w:u w:val="single"/>
              </w:rPr>
            </w:pPr>
          </w:p>
        </w:tc>
      </w:tr>
      <w:tr w:rsidR="00FE71B9" w:rsidTr="00345119">
        <w:tc>
          <w:tcPr>
            <w:tcW w:w="9576" w:type="dxa"/>
          </w:tcPr>
          <w:p w:rsidR="00B905C6" w:rsidRPr="00B905C6" w:rsidRDefault="008E3CEE" w:rsidP="00532A07">
            <w:pPr>
              <w:jc w:val="both"/>
            </w:pPr>
          </w:p>
        </w:tc>
      </w:tr>
    </w:tbl>
    <w:p w:rsidR="008423E4" w:rsidRPr="00BE0E75" w:rsidRDefault="008E3CEE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8E3CEE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E3CEE">
      <w:r>
        <w:separator/>
      </w:r>
    </w:p>
  </w:endnote>
  <w:endnote w:type="continuationSeparator" w:id="0">
    <w:p w:rsidR="00000000" w:rsidRDefault="008E3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8E3C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E71B9" w:rsidTr="009C1E9A">
      <w:trPr>
        <w:cantSplit/>
      </w:trPr>
      <w:tc>
        <w:tcPr>
          <w:tcW w:w="0" w:type="pct"/>
        </w:tcPr>
        <w:p w:rsidR="00137D90" w:rsidRDefault="008E3CEE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8E3CEE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8E3CEE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8E3CEE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8E3CE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E71B9" w:rsidTr="009C1E9A">
      <w:trPr>
        <w:cantSplit/>
      </w:trPr>
      <w:tc>
        <w:tcPr>
          <w:tcW w:w="0" w:type="pct"/>
        </w:tcPr>
        <w:p w:rsidR="00EC379B" w:rsidRDefault="008E3CEE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8E3CE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27341</w:t>
          </w:r>
        </w:p>
      </w:tc>
      <w:tc>
        <w:tcPr>
          <w:tcW w:w="2453" w:type="pct"/>
        </w:tcPr>
        <w:p w:rsidR="00EC379B" w:rsidRDefault="008E3CE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19.104.22</w:t>
          </w:r>
          <w:r>
            <w:fldChar w:fldCharType="end"/>
          </w:r>
        </w:p>
      </w:tc>
    </w:tr>
    <w:tr w:rsidR="00FE71B9" w:rsidTr="009C1E9A">
      <w:trPr>
        <w:cantSplit/>
      </w:trPr>
      <w:tc>
        <w:tcPr>
          <w:tcW w:w="0" w:type="pct"/>
        </w:tcPr>
        <w:p w:rsidR="00EC379B" w:rsidRDefault="008E3CEE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8E3CEE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86R 18713</w:t>
          </w:r>
        </w:p>
      </w:tc>
      <w:tc>
        <w:tcPr>
          <w:tcW w:w="2453" w:type="pct"/>
        </w:tcPr>
        <w:p w:rsidR="00EC379B" w:rsidRDefault="008E3CEE" w:rsidP="006D504F">
          <w:pPr>
            <w:pStyle w:val="Footer"/>
            <w:rPr>
              <w:rStyle w:val="PageNumber"/>
            </w:rPr>
          </w:pPr>
        </w:p>
        <w:p w:rsidR="00EC379B" w:rsidRDefault="008E3CE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E71B9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8E3CE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:rsidR="00EC379B" w:rsidRDefault="008E3CEE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8E3CEE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8E3C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E3CEE">
      <w:r>
        <w:separator/>
      </w:r>
    </w:p>
  </w:footnote>
  <w:footnote w:type="continuationSeparator" w:id="0">
    <w:p w:rsidR="00000000" w:rsidRDefault="008E3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8E3C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8E3C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8E3C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2D5"/>
    <w:multiLevelType w:val="hybridMultilevel"/>
    <w:tmpl w:val="D9F41FE2"/>
    <w:lvl w:ilvl="0" w:tplc="A16427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1836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A8D4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485F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F63F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3266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5629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8486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42A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12AE0"/>
    <w:multiLevelType w:val="hybridMultilevel"/>
    <w:tmpl w:val="4022D936"/>
    <w:lvl w:ilvl="0" w:tplc="701654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D2A6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C651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1EFC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E434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EE85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46AE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60AC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3A3D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B9"/>
    <w:rsid w:val="008E3CEE"/>
    <w:rsid w:val="00FE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EC5A2CB-84B4-4FC5-93A3-392AF802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9099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909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9099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90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909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3026</Characters>
  <Application>Microsoft Office Word</Application>
  <DocSecurity>4</DocSecurity>
  <Lines>79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HB03069 (Committee Report (Substituted))</vt:lpstr>
    </vt:vector>
  </TitlesOfParts>
  <Company>State of Texas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27341</dc:subject>
  <dc:creator>State of Texas</dc:creator>
  <dc:description>HB 3069 by González, Mary-(H)Public Education (Substitute Document Number: 86R 18713)</dc:description>
  <cp:lastModifiedBy>Scotty Wimberley</cp:lastModifiedBy>
  <cp:revision>2</cp:revision>
  <cp:lastPrinted>2003-11-26T17:21:00Z</cp:lastPrinted>
  <dcterms:created xsi:type="dcterms:W3CDTF">2019-04-17T21:12:00Z</dcterms:created>
  <dcterms:modified xsi:type="dcterms:W3CDTF">2019-04-17T21:12:00Z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19.104.22</vt:lpwstr>
  </property>
</Properties>
</file>