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3CC8" w:rsidTr="00345119">
        <w:tc>
          <w:tcPr>
            <w:tcW w:w="9576" w:type="dxa"/>
            <w:noWrap/>
          </w:tcPr>
          <w:p w:rsidR="008423E4" w:rsidRPr="0022177D" w:rsidRDefault="006A7F1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7F1C" w:rsidP="008423E4">
      <w:pPr>
        <w:jc w:val="center"/>
      </w:pPr>
    </w:p>
    <w:p w:rsidR="008423E4" w:rsidRPr="00B31F0E" w:rsidRDefault="006A7F1C" w:rsidP="008423E4"/>
    <w:p w:rsidR="008423E4" w:rsidRPr="00742794" w:rsidRDefault="006A7F1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3CC8" w:rsidTr="00345119">
        <w:tc>
          <w:tcPr>
            <w:tcW w:w="9576" w:type="dxa"/>
          </w:tcPr>
          <w:p w:rsidR="008423E4" w:rsidRPr="00861995" w:rsidRDefault="006A7F1C" w:rsidP="00345119">
            <w:pPr>
              <w:jc w:val="right"/>
            </w:pPr>
            <w:r>
              <w:t>H.B. 3085</w:t>
            </w:r>
          </w:p>
        </w:tc>
      </w:tr>
      <w:tr w:rsidR="00133CC8" w:rsidTr="00345119">
        <w:tc>
          <w:tcPr>
            <w:tcW w:w="9576" w:type="dxa"/>
          </w:tcPr>
          <w:p w:rsidR="008423E4" w:rsidRPr="00861995" w:rsidRDefault="006A7F1C" w:rsidP="003E6592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133CC8" w:rsidTr="00345119">
        <w:tc>
          <w:tcPr>
            <w:tcW w:w="9576" w:type="dxa"/>
          </w:tcPr>
          <w:p w:rsidR="008423E4" w:rsidRPr="00861995" w:rsidRDefault="006A7F1C" w:rsidP="00345119">
            <w:pPr>
              <w:jc w:val="right"/>
            </w:pPr>
            <w:r>
              <w:t>Juvenile Justice &amp; Family Issues</w:t>
            </w:r>
          </w:p>
        </w:tc>
      </w:tr>
      <w:tr w:rsidR="00133CC8" w:rsidTr="00345119">
        <w:tc>
          <w:tcPr>
            <w:tcW w:w="9576" w:type="dxa"/>
          </w:tcPr>
          <w:p w:rsidR="008423E4" w:rsidRDefault="006A7F1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A7F1C" w:rsidP="008423E4">
      <w:pPr>
        <w:tabs>
          <w:tab w:val="right" w:pos="9360"/>
        </w:tabs>
      </w:pPr>
    </w:p>
    <w:p w:rsidR="008423E4" w:rsidRDefault="006A7F1C" w:rsidP="008423E4"/>
    <w:p w:rsidR="008423E4" w:rsidRDefault="006A7F1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33CC8" w:rsidTr="00345119">
        <w:tc>
          <w:tcPr>
            <w:tcW w:w="9576" w:type="dxa"/>
          </w:tcPr>
          <w:p w:rsidR="008423E4" w:rsidRPr="00A8133F" w:rsidRDefault="006A7F1C" w:rsidP="00B829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7F1C" w:rsidP="00B829E2"/>
          <w:p w:rsidR="008423E4" w:rsidRDefault="006A7F1C" w:rsidP="00B829E2">
            <w:pPr>
              <w:pStyle w:val="Header"/>
              <w:jc w:val="both"/>
            </w:pPr>
            <w:r>
              <w:t>"</w:t>
            </w:r>
            <w:r>
              <w:t>Removal</w:t>
            </w:r>
            <w:r>
              <w:t>"</w:t>
            </w:r>
            <w:r>
              <w:t xml:space="preserve"> is a concept in federal law that allows some cases filed in state court to be moved to federal court</w:t>
            </w:r>
            <w:r>
              <w:t>.</w:t>
            </w:r>
            <w:r>
              <w:t xml:space="preserve"> </w:t>
            </w:r>
            <w:r>
              <w:t xml:space="preserve">There are </w:t>
            </w:r>
            <w:r>
              <w:t>reports of r</w:t>
            </w:r>
            <w:r>
              <w:t>ecent</w:t>
            </w:r>
            <w:r>
              <w:t xml:space="preserve"> e</w:t>
            </w:r>
            <w:r>
              <w:t>ffort</w:t>
            </w:r>
            <w:r>
              <w:t>s</w:t>
            </w:r>
            <w:r>
              <w:t xml:space="preserve"> by parents who owe child support to </w:t>
            </w:r>
            <w:r>
              <w:t xml:space="preserve">seek to </w:t>
            </w:r>
            <w:r>
              <w:t>remove their case to federal court</w:t>
            </w:r>
            <w:r>
              <w:t xml:space="preserve"> for the purpose of </w:t>
            </w:r>
            <w:r>
              <w:t>delaying the case, even though it will ultimately be remanded back to state court</w:t>
            </w:r>
            <w:r>
              <w:t xml:space="preserve">. </w:t>
            </w:r>
            <w:r>
              <w:t>Because a removal prohibits any further action by</w:t>
            </w:r>
            <w:r>
              <w:t xml:space="preserve"> the state court, these efforts can result in long delays in proceedings and increased litigation costs for the opposing party. H.B. 3085 seeks to discourage this practice by allowing attorney</w:t>
            </w:r>
            <w:r>
              <w:t>'</w:t>
            </w:r>
            <w:r>
              <w:t xml:space="preserve">s fees to be awarded and monetary </w:t>
            </w:r>
            <w:r>
              <w:t>sanctions</w:t>
            </w:r>
            <w:r>
              <w:t xml:space="preserve"> to be imposed when </w:t>
            </w:r>
            <w:r>
              <w:t>certain suits for the dissolution of a marriage or affecting the parent-child relationship have been remanded to state court</w:t>
            </w:r>
            <w:r>
              <w:t xml:space="preserve"> following removal</w:t>
            </w:r>
            <w:r>
              <w:t xml:space="preserve">. </w:t>
            </w:r>
          </w:p>
          <w:p w:rsidR="008423E4" w:rsidRPr="00E26B13" w:rsidRDefault="006A7F1C" w:rsidP="00B829E2">
            <w:pPr>
              <w:rPr>
                <w:b/>
              </w:rPr>
            </w:pPr>
          </w:p>
        </w:tc>
      </w:tr>
      <w:tr w:rsidR="00133CC8" w:rsidTr="00345119">
        <w:tc>
          <w:tcPr>
            <w:tcW w:w="9576" w:type="dxa"/>
          </w:tcPr>
          <w:p w:rsidR="0017725B" w:rsidRDefault="006A7F1C" w:rsidP="00B829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7F1C" w:rsidP="00B829E2">
            <w:pPr>
              <w:rPr>
                <w:b/>
                <w:u w:val="single"/>
              </w:rPr>
            </w:pPr>
          </w:p>
          <w:p w:rsidR="001F4F38" w:rsidRPr="001F4F38" w:rsidRDefault="006A7F1C" w:rsidP="00B829E2">
            <w:pPr>
              <w:jc w:val="both"/>
            </w:pPr>
            <w:r>
              <w:t>It is the committee's opinion that this bill does not expressly create a criminal of</w:t>
            </w:r>
            <w:r>
              <w:t>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A7F1C" w:rsidP="00B829E2">
            <w:pPr>
              <w:rPr>
                <w:b/>
                <w:u w:val="single"/>
              </w:rPr>
            </w:pPr>
          </w:p>
        </w:tc>
      </w:tr>
      <w:tr w:rsidR="00133CC8" w:rsidTr="00345119">
        <w:tc>
          <w:tcPr>
            <w:tcW w:w="9576" w:type="dxa"/>
          </w:tcPr>
          <w:p w:rsidR="008423E4" w:rsidRPr="00A8133F" w:rsidRDefault="006A7F1C" w:rsidP="00B829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7F1C" w:rsidP="00B829E2"/>
          <w:p w:rsidR="001F4F38" w:rsidRDefault="006A7F1C" w:rsidP="00B829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6A7F1C" w:rsidP="00B829E2">
            <w:pPr>
              <w:rPr>
                <w:b/>
              </w:rPr>
            </w:pPr>
          </w:p>
        </w:tc>
      </w:tr>
      <w:tr w:rsidR="00133CC8" w:rsidTr="00345119">
        <w:tc>
          <w:tcPr>
            <w:tcW w:w="9576" w:type="dxa"/>
          </w:tcPr>
          <w:p w:rsidR="008423E4" w:rsidRPr="00A8133F" w:rsidRDefault="006A7F1C" w:rsidP="00B829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7F1C" w:rsidP="00B829E2"/>
          <w:p w:rsidR="008423E4" w:rsidRDefault="006A7F1C" w:rsidP="00B829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3085 amends the Family Code to authorize a </w:t>
            </w:r>
            <w:r w:rsidRPr="00E23A0D">
              <w:t>court with jurisdiction of a suit filed</w:t>
            </w:r>
            <w:r>
              <w:t xml:space="preserve"> for dissolution of marriage</w:t>
            </w:r>
            <w:r>
              <w:t xml:space="preserve"> or </w:t>
            </w:r>
            <w:r>
              <w:t xml:space="preserve">a </w:t>
            </w:r>
            <w:r>
              <w:t>suit affecting the parent-child relationship</w:t>
            </w:r>
            <w:r>
              <w:t xml:space="preserve">, </w:t>
            </w:r>
            <w:r w:rsidRPr="00E23A0D">
              <w:t xml:space="preserve">on its own motion or on the motion of a party, </w:t>
            </w:r>
            <w:r>
              <w:t xml:space="preserve">to </w:t>
            </w:r>
            <w:r>
              <w:t xml:space="preserve">award reasonable attorney's fees and costs of the suit and </w:t>
            </w:r>
            <w:r>
              <w:t xml:space="preserve">to </w:t>
            </w:r>
            <w:r>
              <w:t>impose other sanctions, as prescribed by the bill,</w:t>
            </w:r>
            <w:r w:rsidRPr="00E23A0D">
              <w:t xml:space="preserve"> if a party removes the suit to federal court an</w:t>
            </w:r>
            <w:r w:rsidRPr="00E23A0D">
              <w:t>d the court with jurisdiction finds that the federal court to which the case was removed has:</w:t>
            </w:r>
          </w:p>
          <w:p w:rsidR="00E23A0D" w:rsidRDefault="006A7F1C" w:rsidP="00B829E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remanded the proceedings to state court;</w:t>
            </w:r>
          </w:p>
          <w:p w:rsidR="00E23A0D" w:rsidRDefault="006A7F1C" w:rsidP="00B829E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imposed attorney's fees or other costs of suit against the removing party or the removing party's counsel; and</w:t>
            </w:r>
          </w:p>
          <w:p w:rsidR="004302BD" w:rsidRDefault="006A7F1C" w:rsidP="00B829E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determined</w:t>
            </w:r>
            <w:r>
              <w:t xml:space="preserve"> that the removal was: </w:t>
            </w:r>
          </w:p>
          <w:p w:rsidR="004302BD" w:rsidRDefault="006A7F1C" w:rsidP="00B829E2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frivolous; </w:t>
            </w:r>
          </w:p>
          <w:p w:rsidR="004302BD" w:rsidRDefault="006A7F1C" w:rsidP="00B829E2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filed for the purpose of delaying the state court suit or avoiding an unfavorable decision by the state court; </w:t>
            </w:r>
          </w:p>
          <w:p w:rsidR="004302BD" w:rsidRDefault="006A7F1C" w:rsidP="00B829E2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filed for the purpose of gaining an advantage over another party in the state court suit; or </w:t>
            </w:r>
          </w:p>
          <w:p w:rsidR="00E23A0D" w:rsidRDefault="006A7F1C" w:rsidP="00B829E2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filed for the </w:t>
            </w:r>
            <w:r>
              <w:t>purpose of causing damage to another party in the state court suit.</w:t>
            </w:r>
          </w:p>
          <w:p w:rsidR="001F4F38" w:rsidRDefault="006A7F1C" w:rsidP="00B829E2">
            <w:pPr>
              <w:pStyle w:val="Header"/>
              <w:spacing w:before="120" w:after="120"/>
              <w:jc w:val="both"/>
            </w:pPr>
          </w:p>
          <w:p w:rsidR="00AE216E" w:rsidRDefault="006A7F1C" w:rsidP="00B829E2">
            <w:pPr>
              <w:pStyle w:val="Header"/>
              <w:spacing w:before="120" w:after="120"/>
              <w:jc w:val="both"/>
            </w:pPr>
            <w:r>
              <w:t xml:space="preserve">H.B. 3085 authorizes the monetary sanctions to be imposed on the removing party, the removing party's attorney, or both. The bill authorizes a </w:t>
            </w:r>
            <w:r w:rsidRPr="00AE216E">
              <w:t xml:space="preserve">judgment for attorney's fees and </w:t>
            </w:r>
            <w:r>
              <w:t xml:space="preserve">costs of </w:t>
            </w:r>
            <w:r>
              <w:t>the suit awarded to</w:t>
            </w:r>
            <w:r w:rsidRPr="00AE216E">
              <w:t xml:space="preserve"> be enforced in the name of the attorney for a party that did not remove the case to federal court by any means available for the enforcement of a judgment for debt.</w:t>
            </w:r>
            <w:r>
              <w:t xml:space="preserve"> </w:t>
            </w:r>
            <w:r>
              <w:t xml:space="preserve">  </w:t>
            </w:r>
          </w:p>
          <w:p w:rsidR="008423E4" w:rsidRPr="00835628" w:rsidRDefault="006A7F1C" w:rsidP="00B829E2">
            <w:pPr>
              <w:rPr>
                <w:b/>
              </w:rPr>
            </w:pPr>
          </w:p>
        </w:tc>
      </w:tr>
      <w:tr w:rsidR="00133CC8" w:rsidTr="00345119">
        <w:tc>
          <w:tcPr>
            <w:tcW w:w="9576" w:type="dxa"/>
          </w:tcPr>
          <w:p w:rsidR="008423E4" w:rsidRPr="00A8133F" w:rsidRDefault="006A7F1C" w:rsidP="00B829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7F1C" w:rsidP="00B829E2"/>
          <w:p w:rsidR="008423E4" w:rsidRPr="003624F2" w:rsidRDefault="006A7F1C" w:rsidP="00B829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F4F38">
              <w:t>September 1, 2019.</w:t>
            </w:r>
          </w:p>
          <w:p w:rsidR="008423E4" w:rsidRPr="00233FDB" w:rsidRDefault="006A7F1C" w:rsidP="00B829E2">
            <w:pPr>
              <w:rPr>
                <w:b/>
              </w:rPr>
            </w:pPr>
          </w:p>
        </w:tc>
      </w:tr>
    </w:tbl>
    <w:p w:rsidR="008423E4" w:rsidRPr="00BE0E75" w:rsidRDefault="006A7F1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A7F1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7F1C">
      <w:r>
        <w:separator/>
      </w:r>
    </w:p>
  </w:endnote>
  <w:endnote w:type="continuationSeparator" w:id="0">
    <w:p w:rsidR="00000000" w:rsidRDefault="006A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3CC8" w:rsidTr="009C1E9A">
      <w:trPr>
        <w:cantSplit/>
      </w:trPr>
      <w:tc>
        <w:tcPr>
          <w:tcW w:w="0" w:type="pct"/>
        </w:tcPr>
        <w:p w:rsidR="00137D90" w:rsidRDefault="006A7F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7F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7F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7F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7F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3CC8" w:rsidTr="009C1E9A">
      <w:trPr>
        <w:cantSplit/>
      </w:trPr>
      <w:tc>
        <w:tcPr>
          <w:tcW w:w="0" w:type="pct"/>
        </w:tcPr>
        <w:p w:rsidR="00EC379B" w:rsidRDefault="006A7F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7F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29001</w:t>
          </w:r>
        </w:p>
      </w:tc>
      <w:tc>
        <w:tcPr>
          <w:tcW w:w="2453" w:type="pct"/>
        </w:tcPr>
        <w:p w:rsidR="00EC379B" w:rsidRDefault="006A7F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19.112.829</w:t>
          </w:r>
          <w:r>
            <w:fldChar w:fldCharType="end"/>
          </w:r>
        </w:p>
      </w:tc>
    </w:tr>
    <w:tr w:rsidR="00133CC8" w:rsidTr="009C1E9A">
      <w:trPr>
        <w:cantSplit/>
      </w:trPr>
      <w:tc>
        <w:tcPr>
          <w:tcW w:w="0" w:type="pct"/>
        </w:tcPr>
        <w:p w:rsidR="00EC379B" w:rsidRDefault="006A7F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7F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A7F1C" w:rsidP="006D504F">
          <w:pPr>
            <w:pStyle w:val="Footer"/>
            <w:rPr>
              <w:rStyle w:val="PageNumber"/>
            </w:rPr>
          </w:pPr>
        </w:p>
        <w:p w:rsidR="00EC379B" w:rsidRDefault="006A7F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3C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7F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A7F1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7F1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7F1C">
      <w:r>
        <w:separator/>
      </w:r>
    </w:p>
  </w:footnote>
  <w:footnote w:type="continuationSeparator" w:id="0">
    <w:p w:rsidR="00000000" w:rsidRDefault="006A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767"/>
    <w:multiLevelType w:val="hybridMultilevel"/>
    <w:tmpl w:val="9D02BAFA"/>
    <w:lvl w:ilvl="0" w:tplc="AA96E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E6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85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6A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03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E5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4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0D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487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E4A92"/>
    <w:multiLevelType w:val="hybridMultilevel"/>
    <w:tmpl w:val="2F3C88C4"/>
    <w:lvl w:ilvl="0" w:tplc="0D827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0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A4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67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4C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85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EB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C3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A2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8"/>
    <w:rsid w:val="00133CC8"/>
    <w:rsid w:val="006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8F3252-6A65-4C58-B38C-BE114AFC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2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2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21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2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2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2296</Characters>
  <Application>Microsoft Office Word</Application>
  <DocSecurity>4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HB03085 (Committee Report (Unamended))</vt:lpstr>
    </vt:vector>
  </TitlesOfParts>
  <Company>State of Texas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29001</dc:subject>
  <dc:creator>State of Texas</dc:creator>
  <dc:description>HB 3085 by Dutton-(H)Juvenile Justice &amp; Family Issues</dc:description>
  <cp:lastModifiedBy>Scotty Wimberley</cp:lastModifiedBy>
  <cp:revision>2</cp:revision>
  <cp:lastPrinted>2003-11-26T17:21:00Z</cp:lastPrinted>
  <dcterms:created xsi:type="dcterms:W3CDTF">2019-05-03T16:11:00Z</dcterms:created>
  <dcterms:modified xsi:type="dcterms:W3CDTF">2019-05-03T16:11:00Z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19.112.829</vt:lpwstr>
  </property>
</Properties>
</file>