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238CC" w:rsidTr="00345119">
        <w:tc>
          <w:tcPr>
            <w:tcW w:w="9576" w:type="dxa"/>
            <w:noWrap/>
          </w:tcPr>
          <w:p w:rsidR="008423E4" w:rsidRPr="00334189" w:rsidRDefault="00E86588" w:rsidP="00345119">
            <w:pPr>
              <w:pStyle w:val="Heading1"/>
            </w:pPr>
            <w:bookmarkStart w:id="0" w:name="_GoBack"/>
            <w:bookmarkEnd w:id="0"/>
            <w:r w:rsidRPr="00334189">
              <w:t>BILL ANALYSIS</w:t>
            </w:r>
          </w:p>
        </w:tc>
      </w:tr>
    </w:tbl>
    <w:p w:rsidR="008423E4" w:rsidRPr="00334189" w:rsidRDefault="00E86588" w:rsidP="008423E4">
      <w:pPr>
        <w:jc w:val="center"/>
      </w:pPr>
    </w:p>
    <w:p w:rsidR="008423E4" w:rsidRPr="00334189" w:rsidRDefault="00E86588" w:rsidP="008423E4"/>
    <w:p w:rsidR="008423E4" w:rsidRPr="00334189" w:rsidRDefault="00E8658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238CC" w:rsidTr="00345119">
        <w:tc>
          <w:tcPr>
            <w:tcW w:w="9576" w:type="dxa"/>
          </w:tcPr>
          <w:p w:rsidR="008423E4" w:rsidRPr="00334189" w:rsidRDefault="00E86588" w:rsidP="00345119">
            <w:pPr>
              <w:jc w:val="right"/>
            </w:pPr>
            <w:r>
              <w:t>C.S.H.B. 3106</w:t>
            </w:r>
          </w:p>
        </w:tc>
      </w:tr>
      <w:tr w:rsidR="00A238CC" w:rsidTr="00345119">
        <w:tc>
          <w:tcPr>
            <w:tcW w:w="9576" w:type="dxa"/>
          </w:tcPr>
          <w:p w:rsidR="008423E4" w:rsidRPr="00334189" w:rsidRDefault="00E86588" w:rsidP="00214AF4">
            <w:pPr>
              <w:jc w:val="right"/>
            </w:pPr>
            <w:r w:rsidRPr="00334189">
              <w:t xml:space="preserve">By: </w:t>
            </w:r>
            <w:r>
              <w:t>Goldman</w:t>
            </w:r>
          </w:p>
        </w:tc>
      </w:tr>
      <w:tr w:rsidR="00A238CC" w:rsidTr="00345119">
        <w:tc>
          <w:tcPr>
            <w:tcW w:w="9576" w:type="dxa"/>
          </w:tcPr>
          <w:p w:rsidR="008423E4" w:rsidRPr="00334189" w:rsidRDefault="00E86588" w:rsidP="00345119">
            <w:pPr>
              <w:jc w:val="right"/>
            </w:pPr>
            <w:r>
              <w:t>Homeland Security &amp; Public Safety</w:t>
            </w:r>
          </w:p>
        </w:tc>
      </w:tr>
      <w:tr w:rsidR="00A238CC" w:rsidTr="00345119">
        <w:tc>
          <w:tcPr>
            <w:tcW w:w="9576" w:type="dxa"/>
          </w:tcPr>
          <w:p w:rsidR="008423E4" w:rsidRPr="00334189" w:rsidRDefault="00E86588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Pr="00334189" w:rsidRDefault="00E86588" w:rsidP="008423E4">
      <w:pPr>
        <w:tabs>
          <w:tab w:val="right" w:pos="9360"/>
        </w:tabs>
      </w:pPr>
    </w:p>
    <w:p w:rsidR="008423E4" w:rsidRPr="00334189" w:rsidRDefault="00E86588" w:rsidP="008423E4"/>
    <w:p w:rsidR="008423E4" w:rsidRPr="00334189" w:rsidRDefault="00E8658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238CC" w:rsidTr="00345119">
        <w:tc>
          <w:tcPr>
            <w:tcW w:w="9576" w:type="dxa"/>
          </w:tcPr>
          <w:p w:rsidR="008423E4" w:rsidRPr="00334189" w:rsidRDefault="00E86588" w:rsidP="005D2477">
            <w:pPr>
              <w:rPr>
                <w:b/>
              </w:rPr>
            </w:pPr>
            <w:r w:rsidRPr="00334189">
              <w:rPr>
                <w:b/>
                <w:u w:val="single"/>
              </w:rPr>
              <w:t>BACKGROUND AND PURPOSE</w:t>
            </w:r>
            <w:r w:rsidRPr="00334189">
              <w:rPr>
                <w:b/>
              </w:rPr>
              <w:t xml:space="preserve"> </w:t>
            </w:r>
          </w:p>
          <w:p w:rsidR="008423E4" w:rsidRPr="00334189" w:rsidRDefault="00E86588" w:rsidP="005D2477"/>
          <w:p w:rsidR="008423E4" w:rsidRPr="00334189" w:rsidRDefault="00E86588" w:rsidP="005D247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34189">
              <w:t xml:space="preserve">It has been noted that the man who assaulted and murdered Molly Jane Matheson in 2017 in Fort Worth was under </w:t>
            </w:r>
            <w:r w:rsidRPr="00334189">
              <w:t>investigation for other sexual assaults in numerous counties across Texas. It has been</w:t>
            </w:r>
            <w:r w:rsidRPr="00334189">
              <w:t xml:space="preserve"> further</w:t>
            </w:r>
            <w:r w:rsidRPr="00334189">
              <w:t xml:space="preserve"> noted that there currently is no way for detectives in one jurisdiction to know if someone is under investigation in another jurisdiction if that person has not </w:t>
            </w:r>
            <w:r w:rsidRPr="00334189">
              <w:t xml:space="preserve">yet been arrested for a crime, as was the case in this incident. </w:t>
            </w:r>
            <w:r>
              <w:t>C.S.H.B.</w:t>
            </w:r>
            <w:r w:rsidRPr="00334189">
              <w:t xml:space="preserve"> 3106 seeks to enact Molly Jane's Law to ensure detectives across </w:t>
            </w:r>
            <w:r w:rsidRPr="00334189">
              <w:t>the state</w:t>
            </w:r>
            <w:r w:rsidRPr="00334189">
              <w:t xml:space="preserve"> can easily share information and take full advantage of their training and experience to identify </w:t>
            </w:r>
            <w:r w:rsidRPr="00334189">
              <w:t>suspected</w:t>
            </w:r>
            <w:r w:rsidRPr="00334189">
              <w:t xml:space="preserve"> </w:t>
            </w:r>
            <w:r w:rsidRPr="00334189">
              <w:t>sexual predators.</w:t>
            </w:r>
          </w:p>
          <w:p w:rsidR="008423E4" w:rsidRPr="00334189" w:rsidRDefault="00E86588" w:rsidP="005D2477">
            <w:pPr>
              <w:rPr>
                <w:b/>
              </w:rPr>
            </w:pPr>
          </w:p>
        </w:tc>
      </w:tr>
      <w:tr w:rsidR="00A238CC" w:rsidTr="00345119">
        <w:tc>
          <w:tcPr>
            <w:tcW w:w="9576" w:type="dxa"/>
          </w:tcPr>
          <w:p w:rsidR="0017725B" w:rsidRPr="00334189" w:rsidRDefault="00E86588" w:rsidP="005D2477">
            <w:pPr>
              <w:rPr>
                <w:b/>
                <w:u w:val="single"/>
              </w:rPr>
            </w:pPr>
            <w:r w:rsidRPr="00334189">
              <w:rPr>
                <w:b/>
                <w:u w:val="single"/>
              </w:rPr>
              <w:t>CRIMINAL JUSTICE IMPACT</w:t>
            </w:r>
          </w:p>
          <w:p w:rsidR="0017725B" w:rsidRPr="00334189" w:rsidRDefault="00E86588" w:rsidP="005D2477">
            <w:pPr>
              <w:rPr>
                <w:b/>
                <w:u w:val="single"/>
              </w:rPr>
            </w:pPr>
          </w:p>
          <w:p w:rsidR="00A221EF" w:rsidRPr="00334189" w:rsidRDefault="00E86588" w:rsidP="005D2477">
            <w:pPr>
              <w:jc w:val="both"/>
            </w:pPr>
            <w:r w:rsidRPr="00334189">
              <w:t>It is the committee's opinion that this bill does not expressly create a criminal offense, increase the punishment for an existing criminal offense or category of offenses, or change the eligibility of a person</w:t>
            </w:r>
            <w:r w:rsidRPr="00334189">
              <w:t xml:space="preserve"> for community supervision, parole, or mandatory supervision.</w:t>
            </w:r>
          </w:p>
          <w:p w:rsidR="0017725B" w:rsidRPr="00334189" w:rsidRDefault="00E86588" w:rsidP="005D2477">
            <w:pPr>
              <w:rPr>
                <w:b/>
                <w:u w:val="single"/>
              </w:rPr>
            </w:pPr>
          </w:p>
        </w:tc>
      </w:tr>
      <w:tr w:rsidR="00A238CC" w:rsidTr="00345119">
        <w:tc>
          <w:tcPr>
            <w:tcW w:w="9576" w:type="dxa"/>
          </w:tcPr>
          <w:p w:rsidR="008423E4" w:rsidRPr="00334189" w:rsidRDefault="00E86588" w:rsidP="005D2477">
            <w:pPr>
              <w:rPr>
                <w:b/>
              </w:rPr>
            </w:pPr>
            <w:r w:rsidRPr="00334189">
              <w:rPr>
                <w:b/>
                <w:u w:val="single"/>
              </w:rPr>
              <w:t>RULEMAKING AUTHORITY</w:t>
            </w:r>
            <w:r w:rsidRPr="00334189">
              <w:rPr>
                <w:b/>
              </w:rPr>
              <w:t xml:space="preserve"> </w:t>
            </w:r>
          </w:p>
          <w:p w:rsidR="008423E4" w:rsidRPr="00334189" w:rsidRDefault="00E86588" w:rsidP="005D2477"/>
          <w:p w:rsidR="00A221EF" w:rsidRPr="00334189" w:rsidRDefault="00E86588" w:rsidP="005D247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34189">
              <w:t>It is the committee's opinion that this bill does not expressly grant any additional rulemaking authority to a state officer, department, agency, or institution.</w:t>
            </w:r>
          </w:p>
          <w:p w:rsidR="008423E4" w:rsidRPr="00334189" w:rsidRDefault="00E86588" w:rsidP="005D2477">
            <w:pPr>
              <w:rPr>
                <w:b/>
              </w:rPr>
            </w:pPr>
          </w:p>
        </w:tc>
      </w:tr>
      <w:tr w:rsidR="00A238CC" w:rsidTr="00345119">
        <w:tc>
          <w:tcPr>
            <w:tcW w:w="9576" w:type="dxa"/>
          </w:tcPr>
          <w:p w:rsidR="008423E4" w:rsidRPr="00334189" w:rsidRDefault="00E86588" w:rsidP="005D2477">
            <w:pPr>
              <w:rPr>
                <w:b/>
              </w:rPr>
            </w:pPr>
            <w:r w:rsidRPr="00334189">
              <w:rPr>
                <w:b/>
                <w:u w:val="single"/>
              </w:rPr>
              <w:t>ANALYSIS</w:t>
            </w:r>
            <w:r w:rsidRPr="00334189">
              <w:rPr>
                <w:b/>
              </w:rPr>
              <w:t xml:space="preserve"> </w:t>
            </w:r>
          </w:p>
          <w:p w:rsidR="008423E4" w:rsidRPr="00334189" w:rsidRDefault="00E86588" w:rsidP="005D2477"/>
          <w:p w:rsidR="001F1211" w:rsidRPr="00334189" w:rsidRDefault="00E86588" w:rsidP="005D2477">
            <w:pPr>
              <w:pStyle w:val="Header"/>
              <w:jc w:val="both"/>
            </w:pPr>
            <w:r>
              <w:t>C.S.H.B.</w:t>
            </w:r>
            <w:r w:rsidRPr="00334189">
              <w:t xml:space="preserve"> 3106 amends the Government Code to require a law enforcement agency that identifies a person as a suspect in the investigation of a sexual assault or other sex offense, regardless of how the person is identified, to enter into the Texas</w:t>
            </w:r>
            <w:r w:rsidRPr="00334189">
              <w:t xml:space="preserve"> Data Exchange or a successor comprehensive intelligence database information regarding the agency's investigation of that person. The bill </w:t>
            </w:r>
            <w:r w:rsidRPr="00334189">
              <w:t>sets out the infor</w:t>
            </w:r>
            <w:r w:rsidRPr="00334189">
              <w:t>mation</w:t>
            </w:r>
            <w:r w:rsidRPr="00334189">
              <w:t xml:space="preserve"> required to be entered and</w:t>
            </w:r>
            <w:r w:rsidRPr="00334189">
              <w:t xml:space="preserve"> requires the </w:t>
            </w:r>
            <w:r w:rsidRPr="00334189">
              <w:t xml:space="preserve">applicable </w:t>
            </w:r>
            <w:r w:rsidRPr="00334189">
              <w:t>agency to remove the information</w:t>
            </w:r>
            <w:r w:rsidRPr="00334189">
              <w:t xml:space="preserve"> </w:t>
            </w:r>
            <w:r w:rsidRPr="00334189">
              <w:t xml:space="preserve">on the </w:t>
            </w:r>
            <w:r w:rsidRPr="00334189">
              <w:t xml:space="preserve">earliest of the </w:t>
            </w:r>
            <w:r w:rsidRPr="00334189">
              <w:t>following dates:</w:t>
            </w:r>
          </w:p>
          <w:p w:rsidR="001F1211" w:rsidRPr="00334189" w:rsidRDefault="00E86588" w:rsidP="005D2477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334189">
              <w:t xml:space="preserve">the </w:t>
            </w:r>
            <w:r w:rsidRPr="00334189">
              <w:t>date the agency no longer considers the person a suspect in the relevant investigation</w:t>
            </w:r>
            <w:r w:rsidRPr="00334189">
              <w:t>;</w:t>
            </w:r>
          </w:p>
          <w:p w:rsidR="001F1211" w:rsidRPr="00334189" w:rsidRDefault="00E86588" w:rsidP="005D2477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334189">
              <w:t xml:space="preserve">the date the person is charged with the offense being investigated or a similar offense; or </w:t>
            </w:r>
          </w:p>
          <w:p w:rsidR="001F1211" w:rsidRPr="00334189" w:rsidRDefault="00E86588" w:rsidP="005D2477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334189">
              <w:t xml:space="preserve">the fifth anniversary of the date the </w:t>
            </w:r>
            <w:r w:rsidRPr="00334189">
              <w:t>information was entered</w:t>
            </w:r>
            <w:r w:rsidRPr="00334189">
              <w:t xml:space="preserve"> into the database</w:t>
            </w:r>
            <w:r w:rsidRPr="00334189">
              <w:t xml:space="preserve">. </w:t>
            </w:r>
          </w:p>
          <w:p w:rsidR="007107CB" w:rsidRDefault="00E86588" w:rsidP="005D2477">
            <w:pPr>
              <w:pStyle w:val="Header"/>
              <w:jc w:val="both"/>
            </w:pPr>
          </w:p>
          <w:p w:rsidR="003948D2" w:rsidRPr="00334189" w:rsidRDefault="00E86588" w:rsidP="005D2477">
            <w:pPr>
              <w:pStyle w:val="Header"/>
              <w:jc w:val="both"/>
            </w:pPr>
            <w:r>
              <w:t>C.S.H.B. 3106</w:t>
            </w:r>
            <w:r w:rsidRPr="00334189">
              <w:t xml:space="preserve"> authorizes </w:t>
            </w:r>
            <w:r w:rsidRPr="00334189">
              <w:t>the Department of Public Safety to remove any information entered into the exchange or database as necessary and excepts the information from required disclosure under state public infor</w:t>
            </w:r>
            <w:r w:rsidRPr="00334189">
              <w:t>mation law</w:t>
            </w:r>
            <w:r>
              <w:t xml:space="preserve"> in a certain manner</w:t>
            </w:r>
            <w:r w:rsidRPr="00334189">
              <w:t>. The bill applies only to a pending investigation of a sexual assault or other sex offense, regardless of when the investigation was commenced.</w:t>
            </w:r>
          </w:p>
          <w:p w:rsidR="008423E4" w:rsidRPr="00334189" w:rsidRDefault="00E86588" w:rsidP="005D2477">
            <w:pPr>
              <w:rPr>
                <w:b/>
              </w:rPr>
            </w:pPr>
          </w:p>
        </w:tc>
      </w:tr>
      <w:tr w:rsidR="00A238CC" w:rsidTr="00345119">
        <w:tc>
          <w:tcPr>
            <w:tcW w:w="9576" w:type="dxa"/>
          </w:tcPr>
          <w:p w:rsidR="008423E4" w:rsidRPr="00334189" w:rsidRDefault="00E86588" w:rsidP="005D2477">
            <w:pPr>
              <w:rPr>
                <w:b/>
              </w:rPr>
            </w:pPr>
            <w:r w:rsidRPr="00334189">
              <w:rPr>
                <w:b/>
                <w:u w:val="single"/>
              </w:rPr>
              <w:t>EFFECTIVE DATE</w:t>
            </w:r>
            <w:r w:rsidRPr="00334189">
              <w:rPr>
                <w:b/>
              </w:rPr>
              <w:t xml:space="preserve"> </w:t>
            </w:r>
          </w:p>
          <w:p w:rsidR="008423E4" w:rsidRPr="00334189" w:rsidRDefault="00E86588" w:rsidP="005D2477"/>
          <w:p w:rsidR="008423E4" w:rsidRPr="00334189" w:rsidRDefault="00E86588" w:rsidP="005D247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34189">
              <w:t>September 1, 2019.</w:t>
            </w:r>
          </w:p>
          <w:p w:rsidR="008423E4" w:rsidRDefault="00E86588" w:rsidP="005D2477">
            <w:pPr>
              <w:rPr>
                <w:b/>
              </w:rPr>
            </w:pPr>
          </w:p>
          <w:p w:rsidR="005D2477" w:rsidRPr="00334189" w:rsidRDefault="00E86588" w:rsidP="005D2477">
            <w:pPr>
              <w:rPr>
                <w:b/>
              </w:rPr>
            </w:pPr>
          </w:p>
        </w:tc>
      </w:tr>
      <w:tr w:rsidR="00A238CC" w:rsidTr="00345119">
        <w:tc>
          <w:tcPr>
            <w:tcW w:w="9576" w:type="dxa"/>
          </w:tcPr>
          <w:p w:rsidR="00214AF4" w:rsidRDefault="00E86588" w:rsidP="005D247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735015" w:rsidRDefault="00E86588" w:rsidP="005D2477">
            <w:pPr>
              <w:jc w:val="both"/>
            </w:pPr>
          </w:p>
          <w:p w:rsidR="00735015" w:rsidRDefault="00E86588" w:rsidP="005D2477">
            <w:pPr>
              <w:jc w:val="both"/>
            </w:pPr>
            <w:r>
              <w:t>While C.S.H.B. 3106 may differ from the original in minor or nonsubstantive ways, the following summarizes the substantial differences between the introduced and committee substitute versions of the bill.</w:t>
            </w:r>
          </w:p>
          <w:p w:rsidR="00735015" w:rsidRDefault="00E86588" w:rsidP="005D2477">
            <w:pPr>
              <w:jc w:val="both"/>
            </w:pPr>
          </w:p>
          <w:p w:rsidR="00305A3E" w:rsidRDefault="00E86588" w:rsidP="005D2477">
            <w:pPr>
              <w:jc w:val="both"/>
            </w:pPr>
            <w:r>
              <w:t>The substitute changes the information required to</w:t>
            </w:r>
            <w:r>
              <w:t xml:space="preserve"> be entered into the database by: </w:t>
            </w:r>
          </w:p>
          <w:p w:rsidR="00305A3E" w:rsidRDefault="00E86588" w:rsidP="005D2477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 xml:space="preserve">removing </w:t>
            </w:r>
            <w:r>
              <w:t xml:space="preserve">information about </w:t>
            </w:r>
            <w:r>
              <w:t>the concurrent physical offenses being investigated</w:t>
            </w:r>
            <w:r>
              <w:t>;</w:t>
            </w:r>
            <w:r>
              <w:t xml:space="preserve"> and </w:t>
            </w:r>
          </w:p>
          <w:p w:rsidR="00735015" w:rsidRDefault="00E86588" w:rsidP="005D2477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>including a description of the manner in which the offense was committed, including the manner in which the suspect physically injured e</w:t>
            </w:r>
            <w:r>
              <w:t>ach victim, if applicable.</w:t>
            </w:r>
          </w:p>
          <w:p w:rsidR="00735015" w:rsidRPr="00735015" w:rsidRDefault="00E86588" w:rsidP="005D2477">
            <w:pPr>
              <w:jc w:val="both"/>
            </w:pPr>
          </w:p>
        </w:tc>
      </w:tr>
      <w:tr w:rsidR="00A238CC" w:rsidTr="00345119">
        <w:tc>
          <w:tcPr>
            <w:tcW w:w="9576" w:type="dxa"/>
          </w:tcPr>
          <w:p w:rsidR="00214AF4" w:rsidRPr="00334189" w:rsidRDefault="00E86588" w:rsidP="005D2477">
            <w:pPr>
              <w:rPr>
                <w:b/>
                <w:u w:val="single"/>
              </w:rPr>
            </w:pPr>
          </w:p>
        </w:tc>
      </w:tr>
      <w:tr w:rsidR="00A238CC" w:rsidTr="00345119">
        <w:tc>
          <w:tcPr>
            <w:tcW w:w="9576" w:type="dxa"/>
          </w:tcPr>
          <w:p w:rsidR="00214AF4" w:rsidRPr="00214AF4" w:rsidRDefault="00E86588" w:rsidP="005D2477">
            <w:pPr>
              <w:jc w:val="both"/>
            </w:pPr>
          </w:p>
        </w:tc>
      </w:tr>
    </w:tbl>
    <w:p w:rsidR="004108C3" w:rsidRPr="00334189" w:rsidRDefault="00E86588" w:rsidP="008423E4"/>
    <w:sectPr w:rsidR="004108C3" w:rsidRPr="00334189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86588">
      <w:r>
        <w:separator/>
      </w:r>
    </w:p>
  </w:endnote>
  <w:endnote w:type="continuationSeparator" w:id="0">
    <w:p w:rsidR="00000000" w:rsidRDefault="00E8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865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238CC" w:rsidTr="009C1E9A">
      <w:trPr>
        <w:cantSplit/>
      </w:trPr>
      <w:tc>
        <w:tcPr>
          <w:tcW w:w="0" w:type="pct"/>
        </w:tcPr>
        <w:p w:rsidR="00137D90" w:rsidRDefault="00E8658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8658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8658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8658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8658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238CC" w:rsidTr="009C1E9A">
      <w:trPr>
        <w:cantSplit/>
      </w:trPr>
      <w:tc>
        <w:tcPr>
          <w:tcW w:w="0" w:type="pct"/>
        </w:tcPr>
        <w:p w:rsidR="00EC379B" w:rsidRDefault="00E8658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8658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25245</w:t>
          </w:r>
        </w:p>
      </w:tc>
      <w:tc>
        <w:tcPr>
          <w:tcW w:w="2453" w:type="pct"/>
        </w:tcPr>
        <w:p w:rsidR="00EC379B" w:rsidRDefault="00E8658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19.102.817</w:t>
          </w:r>
          <w:r>
            <w:fldChar w:fldCharType="end"/>
          </w:r>
        </w:p>
      </w:tc>
    </w:tr>
    <w:tr w:rsidR="00A238CC" w:rsidTr="009C1E9A">
      <w:trPr>
        <w:cantSplit/>
      </w:trPr>
      <w:tc>
        <w:tcPr>
          <w:tcW w:w="0" w:type="pct"/>
        </w:tcPr>
        <w:p w:rsidR="00EC379B" w:rsidRDefault="00E8658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8658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19699</w:t>
          </w:r>
        </w:p>
      </w:tc>
      <w:tc>
        <w:tcPr>
          <w:tcW w:w="2453" w:type="pct"/>
        </w:tcPr>
        <w:p w:rsidR="00EC379B" w:rsidRDefault="00E86588" w:rsidP="006D504F">
          <w:pPr>
            <w:pStyle w:val="Footer"/>
            <w:rPr>
              <w:rStyle w:val="PageNumber"/>
            </w:rPr>
          </w:pPr>
        </w:p>
        <w:p w:rsidR="00EC379B" w:rsidRDefault="00E8658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238C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8658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8658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8658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86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86588">
      <w:r>
        <w:separator/>
      </w:r>
    </w:p>
  </w:footnote>
  <w:footnote w:type="continuationSeparator" w:id="0">
    <w:p w:rsidR="00000000" w:rsidRDefault="00E86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865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865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865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513F5"/>
    <w:multiLevelType w:val="hybridMultilevel"/>
    <w:tmpl w:val="B8F29F72"/>
    <w:lvl w:ilvl="0" w:tplc="3EDAC5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162B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063D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CC3B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4A00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06FF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264F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EEC3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261D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92C4A"/>
    <w:multiLevelType w:val="hybridMultilevel"/>
    <w:tmpl w:val="BF302DE4"/>
    <w:lvl w:ilvl="0" w:tplc="C86211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242C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F8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E4C5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20A7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B8F6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10D1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12D1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DAA3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CC"/>
    <w:rsid w:val="00A238CC"/>
    <w:rsid w:val="00E8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FBA73E4-9F62-42B1-A1B9-15DC45C1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948D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48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48D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4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48D2"/>
    <w:rPr>
      <w:b/>
      <w:bCs/>
    </w:rPr>
  </w:style>
  <w:style w:type="paragraph" w:customStyle="1" w:styleId="Default">
    <w:name w:val="Default"/>
    <w:rsid w:val="00A221E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E71080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C0C3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05A3E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3B2B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2586</Characters>
  <Application>Microsoft Office Word</Application>
  <DocSecurity>4</DocSecurity>
  <Lines>68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HB03106 (Committee Report (Substituted))</vt:lpstr>
    </vt:vector>
  </TitlesOfParts>
  <Company>State of Texas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25245</dc:subject>
  <dc:creator>State of Texas</dc:creator>
  <dc:description>HB 3106 by Goldman-(H)Homeland Security &amp; Public Safety (Substitute Document Number: 86R 19699)</dc:description>
  <cp:lastModifiedBy>Stacey Nicchio</cp:lastModifiedBy>
  <cp:revision>2</cp:revision>
  <cp:lastPrinted>2019-04-11T21:30:00Z</cp:lastPrinted>
  <dcterms:created xsi:type="dcterms:W3CDTF">2019-04-16T21:44:00Z</dcterms:created>
  <dcterms:modified xsi:type="dcterms:W3CDTF">2019-04-16T21:44:00Z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19.102.817</vt:lpwstr>
  </property>
</Properties>
</file>