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E07E1" w:rsidTr="00345119">
        <w:tc>
          <w:tcPr>
            <w:tcW w:w="9576" w:type="dxa"/>
            <w:noWrap/>
          </w:tcPr>
          <w:p w:rsidR="008423E4" w:rsidRPr="0022177D" w:rsidRDefault="00DB4D8A" w:rsidP="00345119">
            <w:pPr>
              <w:pStyle w:val="Heading1"/>
            </w:pPr>
            <w:bookmarkStart w:id="0" w:name="_GoBack"/>
            <w:bookmarkEnd w:id="0"/>
            <w:r w:rsidRPr="00631897">
              <w:t>BILL ANALYSIS</w:t>
            </w:r>
          </w:p>
        </w:tc>
      </w:tr>
    </w:tbl>
    <w:p w:rsidR="008423E4" w:rsidRPr="0022177D" w:rsidRDefault="00DB4D8A" w:rsidP="008423E4">
      <w:pPr>
        <w:jc w:val="center"/>
      </w:pPr>
    </w:p>
    <w:p w:rsidR="008423E4" w:rsidRPr="00B31F0E" w:rsidRDefault="00DB4D8A" w:rsidP="008423E4"/>
    <w:p w:rsidR="008423E4" w:rsidRPr="00742794" w:rsidRDefault="00DB4D8A" w:rsidP="008423E4">
      <w:pPr>
        <w:tabs>
          <w:tab w:val="right" w:pos="9360"/>
        </w:tabs>
      </w:pPr>
    </w:p>
    <w:tbl>
      <w:tblPr>
        <w:tblW w:w="0" w:type="auto"/>
        <w:tblLayout w:type="fixed"/>
        <w:tblLook w:val="01E0" w:firstRow="1" w:lastRow="1" w:firstColumn="1" w:lastColumn="1" w:noHBand="0" w:noVBand="0"/>
      </w:tblPr>
      <w:tblGrid>
        <w:gridCol w:w="9576"/>
      </w:tblGrid>
      <w:tr w:rsidR="003E07E1" w:rsidTr="00345119">
        <w:tc>
          <w:tcPr>
            <w:tcW w:w="9576" w:type="dxa"/>
          </w:tcPr>
          <w:p w:rsidR="008423E4" w:rsidRPr="00861995" w:rsidRDefault="00DB4D8A" w:rsidP="00345119">
            <w:pPr>
              <w:jc w:val="right"/>
            </w:pPr>
            <w:r>
              <w:t>C.S.H.B. 3114</w:t>
            </w:r>
          </w:p>
        </w:tc>
      </w:tr>
      <w:tr w:rsidR="003E07E1" w:rsidTr="00345119">
        <w:tc>
          <w:tcPr>
            <w:tcW w:w="9576" w:type="dxa"/>
          </w:tcPr>
          <w:p w:rsidR="008423E4" w:rsidRPr="00861995" w:rsidRDefault="00DB4D8A" w:rsidP="00875C43">
            <w:pPr>
              <w:jc w:val="right"/>
            </w:pPr>
            <w:r>
              <w:t xml:space="preserve">By: </w:t>
            </w:r>
            <w:r>
              <w:t>Kacal</w:t>
            </w:r>
          </w:p>
        </w:tc>
      </w:tr>
      <w:tr w:rsidR="003E07E1" w:rsidTr="00345119">
        <w:tc>
          <w:tcPr>
            <w:tcW w:w="9576" w:type="dxa"/>
          </w:tcPr>
          <w:p w:rsidR="008423E4" w:rsidRPr="00861995" w:rsidRDefault="00DB4D8A" w:rsidP="00345119">
            <w:pPr>
              <w:jc w:val="right"/>
            </w:pPr>
            <w:r>
              <w:t>Environmental Regulation</w:t>
            </w:r>
          </w:p>
        </w:tc>
      </w:tr>
      <w:tr w:rsidR="003E07E1" w:rsidTr="00345119">
        <w:tc>
          <w:tcPr>
            <w:tcW w:w="9576" w:type="dxa"/>
          </w:tcPr>
          <w:p w:rsidR="008423E4" w:rsidRDefault="00DB4D8A" w:rsidP="00345119">
            <w:pPr>
              <w:jc w:val="right"/>
            </w:pPr>
            <w:r>
              <w:t>Committee Report (Substituted)</w:t>
            </w:r>
          </w:p>
        </w:tc>
      </w:tr>
    </w:tbl>
    <w:p w:rsidR="008423E4" w:rsidRDefault="00DB4D8A" w:rsidP="008423E4">
      <w:pPr>
        <w:tabs>
          <w:tab w:val="right" w:pos="9360"/>
        </w:tabs>
      </w:pPr>
    </w:p>
    <w:p w:rsidR="008423E4" w:rsidRDefault="00DB4D8A" w:rsidP="008423E4"/>
    <w:p w:rsidR="008423E4" w:rsidRDefault="00DB4D8A" w:rsidP="008423E4"/>
    <w:tbl>
      <w:tblPr>
        <w:tblW w:w="0" w:type="auto"/>
        <w:tblCellMar>
          <w:left w:w="115" w:type="dxa"/>
          <w:right w:w="115" w:type="dxa"/>
        </w:tblCellMar>
        <w:tblLook w:val="01E0" w:firstRow="1" w:lastRow="1" w:firstColumn="1" w:lastColumn="1" w:noHBand="0" w:noVBand="0"/>
      </w:tblPr>
      <w:tblGrid>
        <w:gridCol w:w="9576"/>
      </w:tblGrid>
      <w:tr w:rsidR="003E07E1" w:rsidTr="00345119">
        <w:tc>
          <w:tcPr>
            <w:tcW w:w="9576" w:type="dxa"/>
          </w:tcPr>
          <w:p w:rsidR="008423E4" w:rsidRPr="00A8133F" w:rsidRDefault="00DB4D8A" w:rsidP="00A33639">
            <w:pPr>
              <w:rPr>
                <w:b/>
              </w:rPr>
            </w:pPr>
            <w:r w:rsidRPr="002D2BE3">
              <w:rPr>
                <w:b/>
                <w:u w:val="single"/>
              </w:rPr>
              <w:t>BACKGROUND AND PURPOSE</w:t>
            </w:r>
            <w:r>
              <w:rPr>
                <w:b/>
              </w:rPr>
              <w:t xml:space="preserve"> </w:t>
            </w:r>
          </w:p>
          <w:p w:rsidR="008423E4" w:rsidRDefault="00DB4D8A" w:rsidP="00A33639"/>
          <w:p w:rsidR="00F64894" w:rsidRPr="00701F4F" w:rsidRDefault="00DB4D8A" w:rsidP="00A33639">
            <w:pPr>
              <w:pStyle w:val="Header"/>
              <w:jc w:val="both"/>
            </w:pPr>
            <w:r>
              <w:t xml:space="preserve">It has been suggested </w:t>
            </w:r>
            <w:r>
              <w:t xml:space="preserve">that </w:t>
            </w:r>
            <w:r>
              <w:t>providing for</w:t>
            </w:r>
            <w:r>
              <w:t xml:space="preserve"> administrative law judges at the </w:t>
            </w:r>
            <w:r w:rsidRPr="00701F4F">
              <w:t>Texas Commission on Environmental Quality (TCEQ)</w:t>
            </w:r>
            <w:r>
              <w:t xml:space="preserve"> to conduct hearings on </w:t>
            </w:r>
            <w:r>
              <w:t xml:space="preserve">matters before TCEQ, rather than having such matters referred to the </w:t>
            </w:r>
            <w:r w:rsidRPr="00B278A2">
              <w:t>State Office of Administrative Hearings</w:t>
            </w:r>
            <w:r>
              <w:t xml:space="preserve"> </w:t>
            </w:r>
            <w:r w:rsidRPr="00B278A2">
              <w:t>(SOAH)</w:t>
            </w:r>
            <w:r>
              <w:t xml:space="preserve">, </w:t>
            </w:r>
            <w:r w:rsidRPr="00701F4F">
              <w:t xml:space="preserve">would </w:t>
            </w:r>
            <w:r>
              <w:t xml:space="preserve">allow for administrative law judges </w:t>
            </w:r>
            <w:r>
              <w:t>who deal with these cases</w:t>
            </w:r>
            <w:r w:rsidRPr="00701F4F">
              <w:t xml:space="preserve"> to become experts in the various</w:t>
            </w:r>
            <w:r>
              <w:t xml:space="preserve"> TCEQ</w:t>
            </w:r>
            <w:r w:rsidRPr="00701F4F">
              <w:t xml:space="preserve"> permittin</w:t>
            </w:r>
            <w:r w:rsidRPr="00701F4F">
              <w:t>g and enforcement programs.</w:t>
            </w:r>
            <w:r>
              <w:t xml:space="preserve"> </w:t>
            </w:r>
            <w:r w:rsidRPr="00E66904">
              <w:t>C.S.</w:t>
            </w:r>
            <w:r>
              <w:t xml:space="preserve">H.B. 3114 seeks to address this issue by providing for contested case hearings relating to TCEQ matters to be conducted at TCEQ </w:t>
            </w:r>
            <w:r>
              <w:t>instead of</w:t>
            </w:r>
            <w:r>
              <w:t xml:space="preserve"> SOAH.</w:t>
            </w:r>
          </w:p>
          <w:p w:rsidR="008423E4" w:rsidRPr="00E26B13" w:rsidRDefault="00DB4D8A" w:rsidP="00A33639">
            <w:pPr>
              <w:pStyle w:val="Header"/>
              <w:tabs>
                <w:tab w:val="clear" w:pos="4320"/>
                <w:tab w:val="clear" w:pos="8640"/>
              </w:tabs>
              <w:jc w:val="both"/>
              <w:rPr>
                <w:b/>
              </w:rPr>
            </w:pPr>
          </w:p>
        </w:tc>
      </w:tr>
      <w:tr w:rsidR="003E07E1" w:rsidTr="00345119">
        <w:tc>
          <w:tcPr>
            <w:tcW w:w="9576" w:type="dxa"/>
          </w:tcPr>
          <w:p w:rsidR="0017725B" w:rsidRDefault="00DB4D8A" w:rsidP="00A33639">
            <w:pPr>
              <w:rPr>
                <w:b/>
                <w:u w:val="single"/>
              </w:rPr>
            </w:pPr>
            <w:r w:rsidRPr="002D2BE3">
              <w:rPr>
                <w:b/>
                <w:u w:val="single"/>
              </w:rPr>
              <w:t>CRIMINAL JUSTICE IMPACT</w:t>
            </w:r>
          </w:p>
          <w:p w:rsidR="0017725B" w:rsidRDefault="00DB4D8A" w:rsidP="00A33639">
            <w:pPr>
              <w:rPr>
                <w:b/>
                <w:u w:val="single"/>
              </w:rPr>
            </w:pPr>
          </w:p>
          <w:p w:rsidR="00B73BF7" w:rsidRPr="00B73BF7" w:rsidRDefault="00DB4D8A" w:rsidP="00A33639">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rsidR="0017725B" w:rsidRPr="0017725B" w:rsidRDefault="00DB4D8A" w:rsidP="00A33639">
            <w:pPr>
              <w:rPr>
                <w:b/>
                <w:u w:val="single"/>
              </w:rPr>
            </w:pPr>
          </w:p>
        </w:tc>
      </w:tr>
      <w:tr w:rsidR="003E07E1" w:rsidTr="00345119">
        <w:tc>
          <w:tcPr>
            <w:tcW w:w="9576" w:type="dxa"/>
          </w:tcPr>
          <w:p w:rsidR="008423E4" w:rsidRPr="00A8133F" w:rsidRDefault="00DB4D8A" w:rsidP="00A33639">
            <w:pPr>
              <w:rPr>
                <w:b/>
              </w:rPr>
            </w:pPr>
            <w:r w:rsidRPr="002D2BE3">
              <w:rPr>
                <w:b/>
                <w:u w:val="single"/>
              </w:rPr>
              <w:t>RULEMAKING AUTHORITY</w:t>
            </w:r>
            <w:r>
              <w:rPr>
                <w:b/>
              </w:rPr>
              <w:t xml:space="preserve"> </w:t>
            </w:r>
          </w:p>
          <w:p w:rsidR="008423E4" w:rsidRDefault="00DB4D8A" w:rsidP="00A33639"/>
          <w:p w:rsidR="00B73BF7" w:rsidRDefault="00DB4D8A" w:rsidP="00A33639">
            <w:pPr>
              <w:pStyle w:val="Header"/>
              <w:tabs>
                <w:tab w:val="clear" w:pos="4320"/>
                <w:tab w:val="clear" w:pos="8640"/>
              </w:tabs>
              <w:jc w:val="both"/>
            </w:pPr>
            <w:r>
              <w:t xml:space="preserve">It is the committee's opinion that rulemaking authority is expressly granted to the Texas Commission on Environmental Quality in SECTION </w:t>
            </w:r>
            <w:r>
              <w:t>4</w:t>
            </w:r>
            <w:r>
              <w:t>.0</w:t>
            </w:r>
            <w:r>
              <w:t>1</w:t>
            </w:r>
            <w:r>
              <w:t xml:space="preserve"> of this bill.</w:t>
            </w:r>
          </w:p>
          <w:p w:rsidR="008423E4" w:rsidRPr="00E21FDC" w:rsidRDefault="00DB4D8A" w:rsidP="00A33639">
            <w:pPr>
              <w:rPr>
                <w:b/>
              </w:rPr>
            </w:pPr>
          </w:p>
        </w:tc>
      </w:tr>
      <w:tr w:rsidR="003E07E1" w:rsidTr="00345119">
        <w:tc>
          <w:tcPr>
            <w:tcW w:w="9576" w:type="dxa"/>
          </w:tcPr>
          <w:p w:rsidR="008423E4" w:rsidRPr="00A8133F" w:rsidRDefault="00DB4D8A" w:rsidP="00A33639">
            <w:pPr>
              <w:contextualSpacing/>
              <w:rPr>
                <w:b/>
              </w:rPr>
            </w:pPr>
            <w:r w:rsidRPr="009C1E9A">
              <w:rPr>
                <w:b/>
                <w:u w:val="single"/>
              </w:rPr>
              <w:t>ANALYSIS</w:t>
            </w:r>
            <w:r>
              <w:rPr>
                <w:b/>
              </w:rPr>
              <w:t xml:space="preserve"> </w:t>
            </w:r>
          </w:p>
          <w:p w:rsidR="008423E4" w:rsidRDefault="00DB4D8A" w:rsidP="00A33639">
            <w:pPr>
              <w:contextualSpacing/>
            </w:pPr>
          </w:p>
          <w:p w:rsidR="00A3015F" w:rsidRDefault="00DB4D8A" w:rsidP="00A33639">
            <w:pPr>
              <w:pStyle w:val="Header"/>
              <w:contextualSpacing/>
              <w:jc w:val="both"/>
            </w:pPr>
            <w:r w:rsidRPr="00E66904">
              <w:t>C.S.</w:t>
            </w:r>
            <w:r>
              <w:t xml:space="preserve">H.B. 3114 amends the Water Code to </w:t>
            </w:r>
            <w:r>
              <w:t>replace the authorization for</w:t>
            </w:r>
            <w:r>
              <w:t xml:space="preserve"> the Texas Commissi</w:t>
            </w:r>
            <w:r>
              <w:t xml:space="preserve">on on Environmental Quality (TCEQ) </w:t>
            </w:r>
            <w:r>
              <w:t xml:space="preserve">to </w:t>
            </w:r>
            <w:r w:rsidRPr="0050272C">
              <w:t>delegate to an administrative law judge of</w:t>
            </w:r>
            <w:r>
              <w:t xml:space="preserve"> </w:t>
            </w:r>
            <w:r>
              <w:t xml:space="preserve">the </w:t>
            </w:r>
            <w:r w:rsidRPr="0026605A">
              <w:t>State Office of Administrative Hearings</w:t>
            </w:r>
            <w:r>
              <w:t xml:space="preserve"> </w:t>
            </w:r>
            <w:r w:rsidRPr="0026605A">
              <w:t>(SOAH)</w:t>
            </w:r>
            <w:r>
              <w:t xml:space="preserve"> </w:t>
            </w:r>
            <w:r w:rsidRPr="00ED5549">
              <w:t xml:space="preserve">the responsibility to hear any matter before </w:t>
            </w:r>
            <w:r>
              <w:t>TCEQ with an authorization for TCEQ to delegate to an administrative law judge</w:t>
            </w:r>
            <w:r>
              <w:t xml:space="preserve"> </w:t>
            </w:r>
            <w:r>
              <w:t xml:space="preserve">employed or contracted by </w:t>
            </w:r>
            <w:r>
              <w:t xml:space="preserve">TCEQ the responsibility to hear any </w:t>
            </w:r>
            <w:r>
              <w:t xml:space="preserve">such </w:t>
            </w:r>
            <w:r>
              <w:t>matter</w:t>
            </w:r>
            <w:r>
              <w:t>.</w:t>
            </w:r>
            <w:r>
              <w:t xml:space="preserve"> The bill repeals Government Code provisions relating to SOAH hearings for TCEQ and establishes similar provisions in the Water Code</w:t>
            </w:r>
            <w:r>
              <w:t xml:space="preserve"> for TCEQ</w:t>
            </w:r>
            <w:r>
              <w:t xml:space="preserve">, including provisions </w:t>
            </w:r>
            <w:r>
              <w:t>requir</w:t>
            </w:r>
            <w:r>
              <w:t>ing</w:t>
            </w:r>
            <w:r>
              <w:t xml:space="preserve"> an </w:t>
            </w:r>
            <w:r w:rsidRPr="00C303A8">
              <w:t>admin</w:t>
            </w:r>
            <w:r w:rsidRPr="00C303A8">
              <w:t xml:space="preserve">istrative law judge to whom </w:t>
            </w:r>
            <w:r>
              <w:t>TCEQ</w:t>
            </w:r>
            <w:r w:rsidRPr="00C303A8">
              <w:t xml:space="preserve"> has delegated a contested case hearing </w:t>
            </w:r>
            <w:r>
              <w:t>to</w:t>
            </w:r>
            <w:r w:rsidRPr="00C303A8">
              <w:t xml:space="preserve"> conduct the hearing</w:t>
            </w:r>
            <w:r>
              <w:t xml:space="preserve"> </w:t>
            </w:r>
            <w:r>
              <w:t xml:space="preserve">and providing for </w:t>
            </w:r>
            <w:r w:rsidRPr="00317E93">
              <w:t xml:space="preserve">temporary or permanent administrative law judges </w:t>
            </w:r>
            <w:r>
              <w:t>and</w:t>
            </w:r>
            <w:r w:rsidRPr="00317E93">
              <w:t xml:space="preserve"> technical advisors</w:t>
            </w:r>
            <w:r>
              <w:t>, and makes related changes.</w:t>
            </w:r>
            <w:r>
              <w:t xml:space="preserve"> </w:t>
            </w:r>
          </w:p>
          <w:p w:rsidR="00A3015F" w:rsidRDefault="00DB4D8A" w:rsidP="00A33639">
            <w:pPr>
              <w:pStyle w:val="Header"/>
              <w:contextualSpacing/>
              <w:jc w:val="both"/>
            </w:pPr>
          </w:p>
          <w:p w:rsidR="00D11C02" w:rsidRDefault="00DB4D8A" w:rsidP="00A33639">
            <w:pPr>
              <w:pStyle w:val="Header"/>
              <w:contextualSpacing/>
              <w:jc w:val="both"/>
            </w:pPr>
            <w:r w:rsidRPr="00E66904">
              <w:t>C.S.</w:t>
            </w:r>
            <w:r>
              <w:t xml:space="preserve">H.B. </w:t>
            </w:r>
            <w:r>
              <w:t>3114 explicitly</w:t>
            </w:r>
            <w:r>
              <w:t xml:space="preserve"> authorizes TCEQ to employ or contract with administrative law judges to assist TCEQ in carrying out its duties and establishes that such judges are independent of the executive director of TCEQ.</w:t>
            </w:r>
            <w:r>
              <w:t xml:space="preserve"> </w:t>
            </w:r>
            <w:r>
              <w:t>The bill sets out the powers of a</w:t>
            </w:r>
            <w:r w:rsidRPr="00A3015F">
              <w:t xml:space="preserve">n administrative law judge </w:t>
            </w:r>
            <w:r w:rsidRPr="00A3015F">
              <w:t xml:space="preserve">employed by </w:t>
            </w:r>
            <w:r>
              <w:t>TCEQ</w:t>
            </w:r>
            <w:r w:rsidRPr="00A3015F">
              <w:t xml:space="preserve"> </w:t>
            </w:r>
            <w:r>
              <w:t>and of</w:t>
            </w:r>
            <w:r w:rsidRPr="00A3015F">
              <w:t xml:space="preserve"> a temporary administrative law judge</w:t>
            </w:r>
            <w:r>
              <w:t>, prohibits a</w:t>
            </w:r>
            <w:r w:rsidRPr="00523540">
              <w:t xml:space="preserve">n administrative law judge </w:t>
            </w:r>
            <w:r>
              <w:t>from</w:t>
            </w:r>
            <w:r w:rsidRPr="00523540">
              <w:t xml:space="preserve"> serv</w:t>
            </w:r>
            <w:r>
              <w:t>ing</w:t>
            </w:r>
            <w:r w:rsidRPr="00523540">
              <w:t xml:space="preserve"> as an impartial third party for a dispute that the administrative law judge refers to an alternative dispute resolution procedure</w:t>
            </w:r>
            <w:r>
              <w:t>, sets out pro</w:t>
            </w:r>
            <w:r>
              <w:t xml:space="preserve">visions relating to ex parte consultations, and makes certain provisions relating to the delegation of hearings applicable to </w:t>
            </w:r>
            <w:r w:rsidRPr="00523540">
              <w:t xml:space="preserve">hearings held for matters under </w:t>
            </w:r>
            <w:r>
              <w:t>TCEQ</w:t>
            </w:r>
            <w:r w:rsidRPr="00523540">
              <w:t xml:space="preserve"> jurisdiction</w:t>
            </w:r>
            <w:r>
              <w:t>.</w:t>
            </w:r>
          </w:p>
          <w:p w:rsidR="00B73BF7" w:rsidRDefault="00DB4D8A" w:rsidP="00A33639">
            <w:pPr>
              <w:pStyle w:val="Header"/>
              <w:contextualSpacing/>
              <w:jc w:val="both"/>
            </w:pPr>
          </w:p>
          <w:p w:rsidR="0069536B" w:rsidRDefault="00DB4D8A" w:rsidP="00A33639">
            <w:pPr>
              <w:pStyle w:val="Header"/>
              <w:contextualSpacing/>
              <w:jc w:val="both"/>
            </w:pPr>
            <w:r>
              <w:t>C.S.H.B. 3114 requires TCEQ, n</w:t>
            </w:r>
            <w:r w:rsidRPr="0069536B">
              <w:t xml:space="preserve">ot later than September 1, 2020, </w:t>
            </w:r>
            <w:r>
              <w:t>to</w:t>
            </w:r>
            <w:r w:rsidRPr="0069536B">
              <w:t xml:space="preserve"> adopt rules </w:t>
            </w:r>
            <w:r w:rsidRPr="0069536B">
              <w:t>to implement the</w:t>
            </w:r>
            <w:r>
              <w:t xml:space="preserve"> bill</w:t>
            </w:r>
            <w:r>
              <w:t>'s provisions</w:t>
            </w:r>
            <w:r w:rsidRPr="0069536B">
              <w:t>.</w:t>
            </w:r>
            <w:r>
              <w:t xml:space="preserve"> The bill requires the chief administrative law judge of SOAH and the executive director of TCEQ to enter into a memorandum of understanding to:</w:t>
            </w:r>
          </w:p>
          <w:p w:rsidR="0069536B" w:rsidRDefault="00DB4D8A" w:rsidP="00A33639">
            <w:pPr>
              <w:pStyle w:val="Header"/>
              <w:numPr>
                <w:ilvl w:val="0"/>
                <w:numId w:val="2"/>
              </w:numPr>
              <w:spacing w:before="120" w:after="120"/>
              <w:jc w:val="both"/>
            </w:pPr>
            <w:r>
              <w:t>determine the number of administrative law judges necessary to conduct heari</w:t>
            </w:r>
            <w:r>
              <w:t>ngs for TCEQ effectively and other details related to the qualification and requirements of those administrative law judges;</w:t>
            </w:r>
          </w:p>
          <w:p w:rsidR="0069536B" w:rsidRDefault="00DB4D8A" w:rsidP="00A33639">
            <w:pPr>
              <w:pStyle w:val="Header"/>
              <w:numPr>
                <w:ilvl w:val="0"/>
                <w:numId w:val="2"/>
              </w:numPr>
              <w:spacing w:before="120" w:after="120"/>
              <w:jc w:val="both"/>
            </w:pPr>
            <w:r>
              <w:t xml:space="preserve">make the necessary changes in SOAH to implement the bill; and </w:t>
            </w:r>
          </w:p>
          <w:p w:rsidR="0069536B" w:rsidRDefault="00DB4D8A" w:rsidP="00A33639">
            <w:pPr>
              <w:pStyle w:val="Header"/>
              <w:numPr>
                <w:ilvl w:val="0"/>
                <w:numId w:val="2"/>
              </w:numPr>
              <w:spacing w:before="120" w:after="120"/>
              <w:jc w:val="both"/>
            </w:pPr>
            <w:r>
              <w:t xml:space="preserve">arrange for the transfer from SOAH to TCEQ </w:t>
            </w:r>
            <w:r>
              <w:t xml:space="preserve">of </w:t>
            </w:r>
            <w:r>
              <w:t>all equipment, data, f</w:t>
            </w:r>
            <w:r>
              <w:t>acilities, and other items related to hearings conducted on behalf of TCEQ, to occur not later than September 1, 2020.</w:t>
            </w:r>
          </w:p>
          <w:p w:rsidR="00846B4D" w:rsidRDefault="00DB4D8A" w:rsidP="00A33639">
            <w:pPr>
              <w:pStyle w:val="Header"/>
              <w:spacing w:before="120" w:after="120"/>
              <w:contextualSpacing/>
              <w:jc w:val="both"/>
            </w:pPr>
          </w:p>
          <w:p w:rsidR="00343213" w:rsidRDefault="00DB4D8A" w:rsidP="00A33639">
            <w:pPr>
              <w:pStyle w:val="Header"/>
              <w:spacing w:before="120" w:after="120"/>
              <w:contextualSpacing/>
              <w:jc w:val="both"/>
            </w:pPr>
            <w:r>
              <w:t xml:space="preserve">C.S.H.B. 3114 </w:t>
            </w:r>
            <w:r w:rsidRPr="00343213">
              <w:t>appl</w:t>
            </w:r>
            <w:r>
              <w:t>ies</w:t>
            </w:r>
            <w:r w:rsidRPr="00343213">
              <w:t xml:space="preserve"> only to a contested case hearing referred by </w:t>
            </w:r>
            <w:r>
              <w:t>TCEQ</w:t>
            </w:r>
            <w:r w:rsidRPr="00343213">
              <w:t xml:space="preserve"> to an administrative law judge on or after September 1, 2020.</w:t>
            </w:r>
          </w:p>
          <w:p w:rsidR="0069536B" w:rsidRDefault="00DB4D8A" w:rsidP="00A33639">
            <w:pPr>
              <w:pStyle w:val="Header"/>
              <w:contextualSpacing/>
              <w:jc w:val="both"/>
            </w:pPr>
          </w:p>
          <w:p w:rsidR="00E27441" w:rsidRDefault="00DB4D8A" w:rsidP="00A33639">
            <w:pPr>
              <w:pStyle w:val="Header"/>
              <w:contextualSpacing/>
              <w:jc w:val="both"/>
            </w:pPr>
            <w:r w:rsidRPr="00E66904">
              <w:t>C.S.</w:t>
            </w:r>
            <w:r>
              <w:t>H.B. 3114 amends the Government Code to make conforming changes.</w:t>
            </w:r>
          </w:p>
          <w:p w:rsidR="00E27441" w:rsidRDefault="00DB4D8A" w:rsidP="00A33639">
            <w:pPr>
              <w:pStyle w:val="Header"/>
              <w:contextualSpacing/>
              <w:jc w:val="both"/>
            </w:pPr>
          </w:p>
          <w:p w:rsidR="001007FC" w:rsidRDefault="00DB4D8A" w:rsidP="00A33639">
            <w:pPr>
              <w:pStyle w:val="Header"/>
              <w:contextualSpacing/>
              <w:jc w:val="both"/>
            </w:pPr>
            <w:r w:rsidRPr="00E66904">
              <w:t>C.S.</w:t>
            </w:r>
            <w:r>
              <w:t xml:space="preserve">H.B. 3114 repeals the following provisions: </w:t>
            </w:r>
          </w:p>
          <w:p w:rsidR="001007FC" w:rsidRDefault="00DB4D8A" w:rsidP="00A33639">
            <w:pPr>
              <w:pStyle w:val="Header"/>
              <w:numPr>
                <w:ilvl w:val="0"/>
                <w:numId w:val="1"/>
              </w:numPr>
              <w:spacing w:before="120" w:after="120"/>
              <w:jc w:val="both"/>
            </w:pPr>
            <w:r>
              <w:t>Section 2003.047, Government Code</w:t>
            </w:r>
          </w:p>
          <w:p w:rsidR="001007FC" w:rsidRDefault="00DB4D8A" w:rsidP="00A33639">
            <w:pPr>
              <w:pStyle w:val="Header"/>
              <w:numPr>
                <w:ilvl w:val="0"/>
                <w:numId w:val="1"/>
              </w:numPr>
              <w:spacing w:before="120" w:after="120"/>
              <w:jc w:val="both"/>
            </w:pPr>
            <w:r>
              <w:t>Section 2003.048, Government Code</w:t>
            </w:r>
          </w:p>
          <w:p w:rsidR="001007FC" w:rsidRDefault="00DB4D8A" w:rsidP="00A33639">
            <w:pPr>
              <w:pStyle w:val="Header"/>
              <w:numPr>
                <w:ilvl w:val="0"/>
                <w:numId w:val="1"/>
              </w:numPr>
              <w:spacing w:before="120" w:after="120"/>
              <w:jc w:val="both"/>
            </w:pPr>
            <w:r>
              <w:t>Section 5.313, Water Code</w:t>
            </w:r>
            <w:r>
              <w:t xml:space="preserve">  </w:t>
            </w:r>
          </w:p>
          <w:p w:rsidR="008423E4" w:rsidRPr="00835628" w:rsidRDefault="00DB4D8A" w:rsidP="00A33639">
            <w:pPr>
              <w:pStyle w:val="Header"/>
              <w:contextualSpacing/>
              <w:jc w:val="both"/>
              <w:rPr>
                <w:b/>
              </w:rPr>
            </w:pPr>
          </w:p>
        </w:tc>
      </w:tr>
      <w:tr w:rsidR="003E07E1" w:rsidTr="00345119">
        <w:tc>
          <w:tcPr>
            <w:tcW w:w="9576" w:type="dxa"/>
          </w:tcPr>
          <w:p w:rsidR="008423E4" w:rsidRPr="00A8133F" w:rsidRDefault="00DB4D8A" w:rsidP="00A33639">
            <w:pPr>
              <w:rPr>
                <w:b/>
              </w:rPr>
            </w:pPr>
            <w:r w:rsidRPr="002D2BE3">
              <w:rPr>
                <w:b/>
                <w:u w:val="single"/>
              </w:rPr>
              <w:t>EFFECTIVE DATE</w:t>
            </w:r>
            <w:r>
              <w:rPr>
                <w:b/>
              </w:rPr>
              <w:t xml:space="preserve"> </w:t>
            </w:r>
          </w:p>
          <w:p w:rsidR="008423E4" w:rsidRDefault="00DB4D8A" w:rsidP="00A33639"/>
          <w:p w:rsidR="00956FF0" w:rsidRDefault="00DB4D8A" w:rsidP="00A33639">
            <w:pPr>
              <w:pStyle w:val="Header"/>
              <w:tabs>
                <w:tab w:val="clear" w:pos="4320"/>
                <w:tab w:val="clear" w:pos="8640"/>
              </w:tabs>
              <w:jc w:val="both"/>
            </w:pPr>
            <w:r>
              <w:t>September 1, 2019.</w:t>
            </w:r>
          </w:p>
          <w:p w:rsidR="008423E4" w:rsidRDefault="00DB4D8A" w:rsidP="00A33639">
            <w:pPr>
              <w:pStyle w:val="Header"/>
              <w:tabs>
                <w:tab w:val="clear" w:pos="4320"/>
                <w:tab w:val="clear" w:pos="8640"/>
              </w:tabs>
              <w:jc w:val="both"/>
            </w:pPr>
            <w:r w:rsidRPr="003624F2">
              <w:t xml:space="preserve"> </w:t>
            </w:r>
          </w:p>
          <w:p w:rsidR="002D2BE3" w:rsidRPr="00233FDB" w:rsidRDefault="00DB4D8A" w:rsidP="00A33639">
            <w:pPr>
              <w:pStyle w:val="Header"/>
              <w:tabs>
                <w:tab w:val="clear" w:pos="4320"/>
                <w:tab w:val="clear" w:pos="8640"/>
              </w:tabs>
              <w:jc w:val="both"/>
              <w:rPr>
                <w:b/>
              </w:rPr>
            </w:pPr>
          </w:p>
        </w:tc>
      </w:tr>
      <w:tr w:rsidR="003E07E1" w:rsidTr="00345119">
        <w:tc>
          <w:tcPr>
            <w:tcW w:w="9576" w:type="dxa"/>
          </w:tcPr>
          <w:p w:rsidR="00875C43" w:rsidRDefault="00DB4D8A" w:rsidP="00A33639">
            <w:pPr>
              <w:jc w:val="both"/>
              <w:rPr>
                <w:b/>
                <w:u w:val="single"/>
              </w:rPr>
            </w:pPr>
            <w:r w:rsidRPr="000D281D">
              <w:rPr>
                <w:b/>
                <w:u w:val="single"/>
              </w:rPr>
              <w:t>COMPARISON OF ORIGINAL AND SUBSTITUTE</w:t>
            </w:r>
          </w:p>
          <w:p w:rsidR="008A50B5" w:rsidRDefault="00DB4D8A" w:rsidP="00A33639">
            <w:pPr>
              <w:jc w:val="both"/>
            </w:pPr>
          </w:p>
          <w:p w:rsidR="008A50B5" w:rsidRDefault="00DB4D8A" w:rsidP="00A33639">
            <w:pPr>
              <w:jc w:val="both"/>
            </w:pPr>
            <w:r>
              <w:t>While C.S.H.B. 3114 may differ from the original in minor or nonsubstantive ways, the following summarizes the substantial differences between the introduced and committee substitute versions of the bill.</w:t>
            </w:r>
          </w:p>
          <w:p w:rsidR="008A50B5" w:rsidRDefault="00DB4D8A" w:rsidP="00A33639">
            <w:pPr>
              <w:jc w:val="both"/>
            </w:pPr>
          </w:p>
          <w:p w:rsidR="005A3EE8" w:rsidRDefault="00DB4D8A" w:rsidP="00A33639">
            <w:pPr>
              <w:jc w:val="both"/>
            </w:pPr>
            <w:r>
              <w:t>The substi</w:t>
            </w:r>
            <w:r>
              <w:t>tute includes provisions explicitly authorizing TCEQ to employ or contract with administrative law judges to assist TCEQ in carrying out its duties and establishing that such judges are independent of the executive director of TCEQ. The substitute includes</w:t>
            </w:r>
            <w:r>
              <w:t xml:space="preserve"> provisions:</w:t>
            </w:r>
          </w:p>
          <w:p w:rsidR="005A3EE8" w:rsidRDefault="00DB4D8A" w:rsidP="00A33639">
            <w:pPr>
              <w:pStyle w:val="ListParagraph"/>
              <w:numPr>
                <w:ilvl w:val="0"/>
                <w:numId w:val="3"/>
              </w:numPr>
              <w:spacing w:before="120" w:after="120"/>
              <w:jc w:val="both"/>
            </w:pPr>
            <w:r>
              <w:t>setting out the powers of a</w:t>
            </w:r>
            <w:r w:rsidRPr="00A3015F">
              <w:t xml:space="preserve">n administrative law judge employed by </w:t>
            </w:r>
            <w:r>
              <w:t>TCEQ</w:t>
            </w:r>
            <w:r w:rsidRPr="00A3015F">
              <w:t xml:space="preserve"> </w:t>
            </w:r>
            <w:r>
              <w:t>and of</w:t>
            </w:r>
            <w:r w:rsidRPr="00A3015F">
              <w:t xml:space="preserve"> a temporary administrative law judge</w:t>
            </w:r>
            <w:r>
              <w:t xml:space="preserve">; </w:t>
            </w:r>
          </w:p>
          <w:p w:rsidR="005A3EE8" w:rsidRDefault="00DB4D8A" w:rsidP="00A33639">
            <w:pPr>
              <w:pStyle w:val="ListParagraph"/>
              <w:numPr>
                <w:ilvl w:val="0"/>
                <w:numId w:val="3"/>
              </w:numPr>
              <w:spacing w:before="120" w:after="120"/>
              <w:jc w:val="both"/>
            </w:pPr>
            <w:r>
              <w:t>prohibiting a</w:t>
            </w:r>
            <w:r w:rsidRPr="00523540">
              <w:t xml:space="preserve">n administrative law judge </w:t>
            </w:r>
            <w:r>
              <w:t>from</w:t>
            </w:r>
            <w:r w:rsidRPr="00523540">
              <w:t xml:space="preserve"> serv</w:t>
            </w:r>
            <w:r>
              <w:t>ing</w:t>
            </w:r>
            <w:r w:rsidRPr="00523540">
              <w:t xml:space="preserve"> as an impartial third party for a dispute that the administrative law jud</w:t>
            </w:r>
            <w:r w:rsidRPr="00523540">
              <w:t>ge refers to an alternative dispute resolution procedure</w:t>
            </w:r>
            <w:r>
              <w:t xml:space="preserve">; </w:t>
            </w:r>
          </w:p>
          <w:p w:rsidR="005A3EE8" w:rsidRDefault="00DB4D8A" w:rsidP="00A33639">
            <w:pPr>
              <w:pStyle w:val="ListParagraph"/>
              <w:numPr>
                <w:ilvl w:val="0"/>
                <w:numId w:val="3"/>
              </w:numPr>
              <w:spacing w:before="120" w:after="120"/>
              <w:jc w:val="both"/>
            </w:pPr>
            <w:r>
              <w:t xml:space="preserve">setting out provisions relating to ex parte consultations; and </w:t>
            </w:r>
          </w:p>
          <w:p w:rsidR="008A50B5" w:rsidRDefault="00DB4D8A" w:rsidP="00A33639">
            <w:pPr>
              <w:pStyle w:val="ListParagraph"/>
              <w:numPr>
                <w:ilvl w:val="0"/>
                <w:numId w:val="3"/>
              </w:numPr>
              <w:spacing w:before="120" w:after="120"/>
              <w:jc w:val="both"/>
            </w:pPr>
            <w:r>
              <w:t xml:space="preserve">making certain provisions relating to the delegation of hearings applicable to </w:t>
            </w:r>
            <w:r w:rsidRPr="00523540">
              <w:t xml:space="preserve">hearings held for matters under </w:t>
            </w:r>
            <w:r>
              <w:t>TCEQ</w:t>
            </w:r>
            <w:r w:rsidRPr="00523540">
              <w:t xml:space="preserve"> jurisdiction</w:t>
            </w:r>
            <w:r>
              <w:t>.</w:t>
            </w:r>
          </w:p>
          <w:p w:rsidR="00FA4AEA" w:rsidRDefault="00DB4D8A" w:rsidP="00A33639">
            <w:pPr>
              <w:jc w:val="both"/>
            </w:pPr>
          </w:p>
          <w:p w:rsidR="005A3EE8" w:rsidRDefault="00DB4D8A" w:rsidP="00A33639">
            <w:pPr>
              <w:jc w:val="both"/>
            </w:pPr>
            <w:r>
              <w:t>Th</w:t>
            </w:r>
            <w:r>
              <w:t xml:space="preserve">e substitute </w:t>
            </w:r>
            <w:r>
              <w:t xml:space="preserve">changes </w:t>
            </w:r>
            <w:r>
              <w:t xml:space="preserve">certain </w:t>
            </w:r>
            <w:r>
              <w:t xml:space="preserve">bill provisions to reflect </w:t>
            </w:r>
            <w:r>
              <w:t>the</w:t>
            </w:r>
            <w:r>
              <w:t xml:space="preserve"> inclusion of the substitute's </w:t>
            </w:r>
            <w:r>
              <w:t xml:space="preserve">provisions </w:t>
            </w:r>
            <w:r>
              <w:t>regarding contested case</w:t>
            </w:r>
            <w:r>
              <w:t xml:space="preserve"> </w:t>
            </w:r>
            <w:r>
              <w:t xml:space="preserve">hearings </w:t>
            </w:r>
            <w:r>
              <w:t>at TCEQ</w:t>
            </w:r>
            <w:r>
              <w:t>,</w:t>
            </w:r>
            <w:r>
              <w:t xml:space="preserve"> </w:t>
            </w:r>
            <w:r>
              <w:t>with respect to conforming and</w:t>
            </w:r>
            <w:r>
              <w:t xml:space="preserve"> </w:t>
            </w:r>
            <w:r>
              <w:t>related changes.</w:t>
            </w:r>
            <w:r>
              <w:t xml:space="preserve"> </w:t>
            </w:r>
          </w:p>
          <w:p w:rsidR="005A3EE8" w:rsidRDefault="00DB4D8A" w:rsidP="00A33639">
            <w:pPr>
              <w:jc w:val="both"/>
            </w:pPr>
          </w:p>
          <w:p w:rsidR="005A3EE8" w:rsidRDefault="00DB4D8A" w:rsidP="00A33639">
            <w:pPr>
              <w:jc w:val="both"/>
            </w:pPr>
            <w:r>
              <w:t xml:space="preserve">The substitute includes provisions: </w:t>
            </w:r>
          </w:p>
          <w:p w:rsidR="005A3EE8" w:rsidRDefault="00DB4D8A" w:rsidP="00A33639">
            <w:pPr>
              <w:pStyle w:val="ListParagraph"/>
              <w:numPr>
                <w:ilvl w:val="0"/>
                <w:numId w:val="4"/>
              </w:numPr>
              <w:spacing w:before="120" w:after="120"/>
              <w:jc w:val="both"/>
            </w:pPr>
            <w:r>
              <w:t>requiring</w:t>
            </w:r>
            <w:r w:rsidRPr="000D281D">
              <w:t xml:space="preserve"> TCEQ</w:t>
            </w:r>
            <w:r>
              <w:t>, n</w:t>
            </w:r>
            <w:r w:rsidRPr="0069536B">
              <w:t>ot later</w:t>
            </w:r>
            <w:r w:rsidRPr="0069536B">
              <w:t xml:space="preserve"> than September 1, 2020,</w:t>
            </w:r>
            <w:r w:rsidRPr="000D281D">
              <w:t xml:space="preserve"> to ad</w:t>
            </w:r>
            <w:r>
              <w:t>opt rules to implement the bill;</w:t>
            </w:r>
            <w:r w:rsidRPr="000D281D">
              <w:t xml:space="preserve"> </w:t>
            </w:r>
          </w:p>
          <w:p w:rsidR="005A3EE8" w:rsidRDefault="00DB4D8A" w:rsidP="00A33639">
            <w:pPr>
              <w:pStyle w:val="ListParagraph"/>
              <w:numPr>
                <w:ilvl w:val="0"/>
                <w:numId w:val="5"/>
              </w:numPr>
              <w:spacing w:before="120" w:after="120"/>
              <w:jc w:val="both"/>
            </w:pPr>
            <w:r w:rsidRPr="000D281D">
              <w:t>requir</w:t>
            </w:r>
            <w:r>
              <w:t>ing</w:t>
            </w:r>
            <w:r w:rsidRPr="000D281D">
              <w:t xml:space="preserve"> the chief administrative law judge of SOAH and the executive director of TCEQ to enter into a</w:t>
            </w:r>
            <w:r>
              <w:t xml:space="preserve"> certain</w:t>
            </w:r>
            <w:r w:rsidRPr="000D281D">
              <w:t xml:space="preserve"> memorandum of understanding</w:t>
            </w:r>
            <w:r>
              <w:t xml:space="preserve">; and </w:t>
            </w:r>
          </w:p>
          <w:p w:rsidR="00FA4AEA" w:rsidRDefault="00DB4D8A" w:rsidP="00A33639">
            <w:pPr>
              <w:pStyle w:val="ListParagraph"/>
              <w:numPr>
                <w:ilvl w:val="0"/>
                <w:numId w:val="6"/>
              </w:numPr>
              <w:spacing w:before="120" w:after="120"/>
              <w:jc w:val="both"/>
            </w:pPr>
            <w:r>
              <w:t xml:space="preserve">making the bill </w:t>
            </w:r>
            <w:r w:rsidRPr="00343213">
              <w:t>appl</w:t>
            </w:r>
            <w:r>
              <w:t>icable</w:t>
            </w:r>
            <w:r w:rsidRPr="00343213">
              <w:t xml:space="preserve"> only to a contested</w:t>
            </w:r>
            <w:r w:rsidRPr="00343213">
              <w:t xml:space="preserve"> case hearing referred by </w:t>
            </w:r>
            <w:r>
              <w:t>TCEQ</w:t>
            </w:r>
            <w:r w:rsidRPr="00343213">
              <w:t xml:space="preserve"> to an administrative law judge on or after September 1, 2020.</w:t>
            </w:r>
          </w:p>
          <w:p w:rsidR="008A50B5" w:rsidRPr="00681C05" w:rsidRDefault="00DB4D8A" w:rsidP="00A33639">
            <w:pPr>
              <w:jc w:val="both"/>
            </w:pPr>
          </w:p>
        </w:tc>
      </w:tr>
    </w:tbl>
    <w:p w:rsidR="004108C3" w:rsidRPr="00B31912" w:rsidRDefault="00DB4D8A" w:rsidP="008423E4">
      <w:pPr>
        <w:rPr>
          <w:sz w:val="2"/>
          <w:szCs w:val="2"/>
        </w:rPr>
      </w:pPr>
    </w:p>
    <w:sectPr w:rsidR="004108C3" w:rsidRPr="00B3191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4D8A">
      <w:r>
        <w:separator/>
      </w:r>
    </w:p>
  </w:endnote>
  <w:endnote w:type="continuationSeparator" w:id="0">
    <w:p w:rsidR="00000000" w:rsidRDefault="00DB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E07E1" w:rsidTr="009C1E9A">
      <w:trPr>
        <w:cantSplit/>
      </w:trPr>
      <w:tc>
        <w:tcPr>
          <w:tcW w:w="0" w:type="pct"/>
        </w:tcPr>
        <w:p w:rsidR="00137D90" w:rsidRDefault="00DB4D8A" w:rsidP="009C1E9A">
          <w:pPr>
            <w:pStyle w:val="Footer"/>
            <w:tabs>
              <w:tab w:val="clear" w:pos="8640"/>
              <w:tab w:val="right" w:pos="9360"/>
            </w:tabs>
          </w:pPr>
        </w:p>
      </w:tc>
      <w:tc>
        <w:tcPr>
          <w:tcW w:w="2395" w:type="pct"/>
        </w:tcPr>
        <w:p w:rsidR="00137D90" w:rsidRDefault="00DB4D8A" w:rsidP="009C1E9A">
          <w:pPr>
            <w:pStyle w:val="Footer"/>
            <w:tabs>
              <w:tab w:val="clear" w:pos="8640"/>
              <w:tab w:val="right" w:pos="9360"/>
            </w:tabs>
          </w:pPr>
        </w:p>
        <w:p w:rsidR="001A4310" w:rsidRDefault="00DB4D8A" w:rsidP="009C1E9A">
          <w:pPr>
            <w:pStyle w:val="Footer"/>
            <w:tabs>
              <w:tab w:val="clear" w:pos="8640"/>
              <w:tab w:val="right" w:pos="9360"/>
            </w:tabs>
          </w:pPr>
        </w:p>
        <w:p w:rsidR="00137D90" w:rsidRDefault="00DB4D8A" w:rsidP="009C1E9A">
          <w:pPr>
            <w:pStyle w:val="Footer"/>
            <w:tabs>
              <w:tab w:val="clear" w:pos="8640"/>
              <w:tab w:val="right" w:pos="9360"/>
            </w:tabs>
          </w:pPr>
        </w:p>
      </w:tc>
      <w:tc>
        <w:tcPr>
          <w:tcW w:w="2453" w:type="pct"/>
        </w:tcPr>
        <w:p w:rsidR="00137D90" w:rsidRDefault="00DB4D8A" w:rsidP="009C1E9A">
          <w:pPr>
            <w:pStyle w:val="Footer"/>
            <w:tabs>
              <w:tab w:val="clear" w:pos="8640"/>
              <w:tab w:val="right" w:pos="9360"/>
            </w:tabs>
            <w:jc w:val="right"/>
          </w:pPr>
        </w:p>
      </w:tc>
    </w:tr>
    <w:tr w:rsidR="003E07E1" w:rsidTr="009C1E9A">
      <w:trPr>
        <w:cantSplit/>
      </w:trPr>
      <w:tc>
        <w:tcPr>
          <w:tcW w:w="0" w:type="pct"/>
        </w:tcPr>
        <w:p w:rsidR="00EC379B" w:rsidRDefault="00DB4D8A" w:rsidP="009C1E9A">
          <w:pPr>
            <w:pStyle w:val="Footer"/>
            <w:tabs>
              <w:tab w:val="clear" w:pos="8640"/>
              <w:tab w:val="right" w:pos="9360"/>
            </w:tabs>
          </w:pPr>
        </w:p>
      </w:tc>
      <w:tc>
        <w:tcPr>
          <w:tcW w:w="2395" w:type="pct"/>
        </w:tcPr>
        <w:p w:rsidR="00EC379B" w:rsidRPr="009C1E9A" w:rsidRDefault="00DB4D8A" w:rsidP="009C1E9A">
          <w:pPr>
            <w:pStyle w:val="Footer"/>
            <w:tabs>
              <w:tab w:val="clear" w:pos="8640"/>
              <w:tab w:val="right" w:pos="9360"/>
            </w:tabs>
            <w:rPr>
              <w:rFonts w:ascii="Shruti" w:hAnsi="Shruti"/>
              <w:sz w:val="22"/>
            </w:rPr>
          </w:pPr>
          <w:r>
            <w:rPr>
              <w:rFonts w:ascii="Shruti" w:hAnsi="Shruti"/>
              <w:sz w:val="22"/>
            </w:rPr>
            <w:t>86R 24847</w:t>
          </w:r>
        </w:p>
      </w:tc>
      <w:tc>
        <w:tcPr>
          <w:tcW w:w="2453" w:type="pct"/>
        </w:tcPr>
        <w:p w:rsidR="00EC379B" w:rsidRDefault="00DB4D8A" w:rsidP="009C1E9A">
          <w:pPr>
            <w:pStyle w:val="Footer"/>
            <w:tabs>
              <w:tab w:val="clear" w:pos="8640"/>
              <w:tab w:val="right" w:pos="9360"/>
            </w:tabs>
            <w:jc w:val="right"/>
          </w:pPr>
          <w:r>
            <w:fldChar w:fldCharType="begin"/>
          </w:r>
          <w:r>
            <w:instrText xml:space="preserve"> DOCPROPERTY  OTID  \* MERGEFORMAT </w:instrText>
          </w:r>
          <w:r>
            <w:fldChar w:fldCharType="separate"/>
          </w:r>
          <w:r>
            <w:t>19.95.756</w:t>
          </w:r>
          <w:r>
            <w:fldChar w:fldCharType="end"/>
          </w:r>
        </w:p>
      </w:tc>
    </w:tr>
    <w:tr w:rsidR="003E07E1" w:rsidTr="009C1E9A">
      <w:trPr>
        <w:cantSplit/>
      </w:trPr>
      <w:tc>
        <w:tcPr>
          <w:tcW w:w="0" w:type="pct"/>
        </w:tcPr>
        <w:p w:rsidR="00EC379B" w:rsidRDefault="00DB4D8A" w:rsidP="009C1E9A">
          <w:pPr>
            <w:pStyle w:val="Footer"/>
            <w:tabs>
              <w:tab w:val="clear" w:pos="4320"/>
              <w:tab w:val="clear" w:pos="8640"/>
              <w:tab w:val="left" w:pos="2865"/>
            </w:tabs>
          </w:pPr>
        </w:p>
      </w:tc>
      <w:tc>
        <w:tcPr>
          <w:tcW w:w="2395" w:type="pct"/>
        </w:tcPr>
        <w:p w:rsidR="00EC379B" w:rsidRPr="009C1E9A" w:rsidRDefault="00DB4D8A"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86R 22186</w:t>
          </w:r>
        </w:p>
      </w:tc>
      <w:tc>
        <w:tcPr>
          <w:tcW w:w="2453" w:type="pct"/>
        </w:tcPr>
        <w:p w:rsidR="00EC379B" w:rsidRDefault="00DB4D8A" w:rsidP="006D504F">
          <w:pPr>
            <w:pStyle w:val="Footer"/>
            <w:rPr>
              <w:rStyle w:val="PageNumber"/>
            </w:rPr>
          </w:pPr>
        </w:p>
        <w:p w:rsidR="00EC379B" w:rsidRDefault="00DB4D8A" w:rsidP="009C1E9A">
          <w:pPr>
            <w:pStyle w:val="Footer"/>
            <w:tabs>
              <w:tab w:val="clear" w:pos="8640"/>
              <w:tab w:val="right" w:pos="9360"/>
            </w:tabs>
            <w:jc w:val="right"/>
          </w:pPr>
        </w:p>
      </w:tc>
    </w:tr>
    <w:tr w:rsidR="003E07E1" w:rsidTr="009C1E9A">
      <w:trPr>
        <w:cantSplit/>
        <w:trHeight w:val="323"/>
      </w:trPr>
      <w:tc>
        <w:tcPr>
          <w:tcW w:w="0" w:type="pct"/>
          <w:gridSpan w:val="3"/>
        </w:tcPr>
        <w:p w:rsidR="00EC379B" w:rsidRDefault="00DB4D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B4D8A" w:rsidP="009C1E9A">
          <w:pPr>
            <w:pStyle w:val="Footer"/>
            <w:tabs>
              <w:tab w:val="clear" w:pos="8640"/>
              <w:tab w:val="right" w:pos="9360"/>
            </w:tabs>
            <w:jc w:val="center"/>
          </w:pPr>
        </w:p>
      </w:tc>
    </w:tr>
  </w:tbl>
  <w:p w:rsidR="00EC379B" w:rsidRPr="00FF6F72" w:rsidRDefault="00DB4D8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4D8A">
      <w:r>
        <w:separator/>
      </w:r>
    </w:p>
  </w:footnote>
  <w:footnote w:type="continuationSeparator" w:id="0">
    <w:p w:rsidR="00000000" w:rsidRDefault="00DB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B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EA9"/>
    <w:multiLevelType w:val="hybridMultilevel"/>
    <w:tmpl w:val="70B09B8E"/>
    <w:lvl w:ilvl="0" w:tplc="CD641600">
      <w:start w:val="1"/>
      <w:numFmt w:val="bullet"/>
      <w:lvlText w:val=""/>
      <w:lvlJc w:val="left"/>
      <w:pPr>
        <w:tabs>
          <w:tab w:val="num" w:pos="720"/>
        </w:tabs>
        <w:ind w:left="720" w:hanging="360"/>
      </w:pPr>
      <w:rPr>
        <w:rFonts w:ascii="Symbol" w:hAnsi="Symbol" w:hint="default"/>
      </w:rPr>
    </w:lvl>
    <w:lvl w:ilvl="1" w:tplc="4104A7A2" w:tentative="1">
      <w:start w:val="1"/>
      <w:numFmt w:val="bullet"/>
      <w:lvlText w:val="o"/>
      <w:lvlJc w:val="left"/>
      <w:pPr>
        <w:ind w:left="1440" w:hanging="360"/>
      </w:pPr>
      <w:rPr>
        <w:rFonts w:ascii="Courier New" w:hAnsi="Courier New" w:cs="Courier New" w:hint="default"/>
      </w:rPr>
    </w:lvl>
    <w:lvl w:ilvl="2" w:tplc="A1D049AC" w:tentative="1">
      <w:start w:val="1"/>
      <w:numFmt w:val="bullet"/>
      <w:lvlText w:val=""/>
      <w:lvlJc w:val="left"/>
      <w:pPr>
        <w:ind w:left="2160" w:hanging="360"/>
      </w:pPr>
      <w:rPr>
        <w:rFonts w:ascii="Wingdings" w:hAnsi="Wingdings" w:hint="default"/>
      </w:rPr>
    </w:lvl>
    <w:lvl w:ilvl="3" w:tplc="E1E83CBA" w:tentative="1">
      <w:start w:val="1"/>
      <w:numFmt w:val="bullet"/>
      <w:lvlText w:val=""/>
      <w:lvlJc w:val="left"/>
      <w:pPr>
        <w:ind w:left="2880" w:hanging="360"/>
      </w:pPr>
      <w:rPr>
        <w:rFonts w:ascii="Symbol" w:hAnsi="Symbol" w:hint="default"/>
      </w:rPr>
    </w:lvl>
    <w:lvl w:ilvl="4" w:tplc="16C2509E" w:tentative="1">
      <w:start w:val="1"/>
      <w:numFmt w:val="bullet"/>
      <w:lvlText w:val="o"/>
      <w:lvlJc w:val="left"/>
      <w:pPr>
        <w:ind w:left="3600" w:hanging="360"/>
      </w:pPr>
      <w:rPr>
        <w:rFonts w:ascii="Courier New" w:hAnsi="Courier New" w:cs="Courier New" w:hint="default"/>
      </w:rPr>
    </w:lvl>
    <w:lvl w:ilvl="5" w:tplc="2CF29F90" w:tentative="1">
      <w:start w:val="1"/>
      <w:numFmt w:val="bullet"/>
      <w:lvlText w:val=""/>
      <w:lvlJc w:val="left"/>
      <w:pPr>
        <w:ind w:left="4320" w:hanging="360"/>
      </w:pPr>
      <w:rPr>
        <w:rFonts w:ascii="Wingdings" w:hAnsi="Wingdings" w:hint="default"/>
      </w:rPr>
    </w:lvl>
    <w:lvl w:ilvl="6" w:tplc="C1EE6DD2" w:tentative="1">
      <w:start w:val="1"/>
      <w:numFmt w:val="bullet"/>
      <w:lvlText w:val=""/>
      <w:lvlJc w:val="left"/>
      <w:pPr>
        <w:ind w:left="5040" w:hanging="360"/>
      </w:pPr>
      <w:rPr>
        <w:rFonts w:ascii="Symbol" w:hAnsi="Symbol" w:hint="default"/>
      </w:rPr>
    </w:lvl>
    <w:lvl w:ilvl="7" w:tplc="900A4154" w:tentative="1">
      <w:start w:val="1"/>
      <w:numFmt w:val="bullet"/>
      <w:lvlText w:val="o"/>
      <w:lvlJc w:val="left"/>
      <w:pPr>
        <w:ind w:left="5760" w:hanging="360"/>
      </w:pPr>
      <w:rPr>
        <w:rFonts w:ascii="Courier New" w:hAnsi="Courier New" w:cs="Courier New" w:hint="default"/>
      </w:rPr>
    </w:lvl>
    <w:lvl w:ilvl="8" w:tplc="B5B20DF2" w:tentative="1">
      <w:start w:val="1"/>
      <w:numFmt w:val="bullet"/>
      <w:lvlText w:val=""/>
      <w:lvlJc w:val="left"/>
      <w:pPr>
        <w:ind w:left="6480" w:hanging="360"/>
      </w:pPr>
      <w:rPr>
        <w:rFonts w:ascii="Wingdings" w:hAnsi="Wingdings" w:hint="default"/>
      </w:rPr>
    </w:lvl>
  </w:abstractNum>
  <w:abstractNum w:abstractNumId="1" w15:restartNumberingAfterBreak="0">
    <w:nsid w:val="0F380C0E"/>
    <w:multiLevelType w:val="hybridMultilevel"/>
    <w:tmpl w:val="53508C22"/>
    <w:lvl w:ilvl="0" w:tplc="99E45D9E">
      <w:start w:val="1"/>
      <w:numFmt w:val="bullet"/>
      <w:lvlText w:val=""/>
      <w:lvlJc w:val="left"/>
      <w:pPr>
        <w:tabs>
          <w:tab w:val="num" w:pos="720"/>
        </w:tabs>
        <w:ind w:left="720" w:hanging="360"/>
      </w:pPr>
      <w:rPr>
        <w:rFonts w:ascii="Symbol" w:hAnsi="Symbol" w:hint="default"/>
      </w:rPr>
    </w:lvl>
    <w:lvl w:ilvl="1" w:tplc="CEC26FB0" w:tentative="1">
      <w:start w:val="1"/>
      <w:numFmt w:val="bullet"/>
      <w:lvlText w:val="o"/>
      <w:lvlJc w:val="left"/>
      <w:pPr>
        <w:ind w:left="1440" w:hanging="360"/>
      </w:pPr>
      <w:rPr>
        <w:rFonts w:ascii="Courier New" w:hAnsi="Courier New" w:cs="Courier New" w:hint="default"/>
      </w:rPr>
    </w:lvl>
    <w:lvl w:ilvl="2" w:tplc="397E1182" w:tentative="1">
      <w:start w:val="1"/>
      <w:numFmt w:val="bullet"/>
      <w:lvlText w:val=""/>
      <w:lvlJc w:val="left"/>
      <w:pPr>
        <w:ind w:left="2160" w:hanging="360"/>
      </w:pPr>
      <w:rPr>
        <w:rFonts w:ascii="Wingdings" w:hAnsi="Wingdings" w:hint="default"/>
      </w:rPr>
    </w:lvl>
    <w:lvl w:ilvl="3" w:tplc="F2F8B5F2" w:tentative="1">
      <w:start w:val="1"/>
      <w:numFmt w:val="bullet"/>
      <w:lvlText w:val=""/>
      <w:lvlJc w:val="left"/>
      <w:pPr>
        <w:ind w:left="2880" w:hanging="360"/>
      </w:pPr>
      <w:rPr>
        <w:rFonts w:ascii="Symbol" w:hAnsi="Symbol" w:hint="default"/>
      </w:rPr>
    </w:lvl>
    <w:lvl w:ilvl="4" w:tplc="A34AE12A" w:tentative="1">
      <w:start w:val="1"/>
      <w:numFmt w:val="bullet"/>
      <w:lvlText w:val="o"/>
      <w:lvlJc w:val="left"/>
      <w:pPr>
        <w:ind w:left="3600" w:hanging="360"/>
      </w:pPr>
      <w:rPr>
        <w:rFonts w:ascii="Courier New" w:hAnsi="Courier New" w:cs="Courier New" w:hint="default"/>
      </w:rPr>
    </w:lvl>
    <w:lvl w:ilvl="5" w:tplc="BD7CE1FE" w:tentative="1">
      <w:start w:val="1"/>
      <w:numFmt w:val="bullet"/>
      <w:lvlText w:val=""/>
      <w:lvlJc w:val="left"/>
      <w:pPr>
        <w:ind w:left="4320" w:hanging="360"/>
      </w:pPr>
      <w:rPr>
        <w:rFonts w:ascii="Wingdings" w:hAnsi="Wingdings" w:hint="default"/>
      </w:rPr>
    </w:lvl>
    <w:lvl w:ilvl="6" w:tplc="762A9BB0" w:tentative="1">
      <w:start w:val="1"/>
      <w:numFmt w:val="bullet"/>
      <w:lvlText w:val=""/>
      <w:lvlJc w:val="left"/>
      <w:pPr>
        <w:ind w:left="5040" w:hanging="360"/>
      </w:pPr>
      <w:rPr>
        <w:rFonts w:ascii="Symbol" w:hAnsi="Symbol" w:hint="default"/>
      </w:rPr>
    </w:lvl>
    <w:lvl w:ilvl="7" w:tplc="380209AC" w:tentative="1">
      <w:start w:val="1"/>
      <w:numFmt w:val="bullet"/>
      <w:lvlText w:val="o"/>
      <w:lvlJc w:val="left"/>
      <w:pPr>
        <w:ind w:left="5760" w:hanging="360"/>
      </w:pPr>
      <w:rPr>
        <w:rFonts w:ascii="Courier New" w:hAnsi="Courier New" w:cs="Courier New" w:hint="default"/>
      </w:rPr>
    </w:lvl>
    <w:lvl w:ilvl="8" w:tplc="4A506970" w:tentative="1">
      <w:start w:val="1"/>
      <w:numFmt w:val="bullet"/>
      <w:lvlText w:val=""/>
      <w:lvlJc w:val="left"/>
      <w:pPr>
        <w:ind w:left="6480" w:hanging="360"/>
      </w:pPr>
      <w:rPr>
        <w:rFonts w:ascii="Wingdings" w:hAnsi="Wingdings" w:hint="default"/>
      </w:rPr>
    </w:lvl>
  </w:abstractNum>
  <w:abstractNum w:abstractNumId="2" w15:restartNumberingAfterBreak="0">
    <w:nsid w:val="37033DC3"/>
    <w:multiLevelType w:val="hybridMultilevel"/>
    <w:tmpl w:val="2A8A56CC"/>
    <w:lvl w:ilvl="0" w:tplc="E33C3A20">
      <w:start w:val="1"/>
      <w:numFmt w:val="bullet"/>
      <w:lvlText w:val=""/>
      <w:lvlJc w:val="left"/>
      <w:pPr>
        <w:tabs>
          <w:tab w:val="num" w:pos="720"/>
        </w:tabs>
        <w:ind w:left="720" w:hanging="360"/>
      </w:pPr>
      <w:rPr>
        <w:rFonts w:ascii="Symbol" w:hAnsi="Symbol" w:hint="default"/>
      </w:rPr>
    </w:lvl>
    <w:lvl w:ilvl="1" w:tplc="6E8C6BD8" w:tentative="1">
      <w:start w:val="1"/>
      <w:numFmt w:val="bullet"/>
      <w:lvlText w:val="o"/>
      <w:lvlJc w:val="left"/>
      <w:pPr>
        <w:ind w:left="1440" w:hanging="360"/>
      </w:pPr>
      <w:rPr>
        <w:rFonts w:ascii="Courier New" w:hAnsi="Courier New" w:cs="Courier New" w:hint="default"/>
      </w:rPr>
    </w:lvl>
    <w:lvl w:ilvl="2" w:tplc="B622C3E2" w:tentative="1">
      <w:start w:val="1"/>
      <w:numFmt w:val="bullet"/>
      <w:lvlText w:val=""/>
      <w:lvlJc w:val="left"/>
      <w:pPr>
        <w:ind w:left="2160" w:hanging="360"/>
      </w:pPr>
      <w:rPr>
        <w:rFonts w:ascii="Wingdings" w:hAnsi="Wingdings" w:hint="default"/>
      </w:rPr>
    </w:lvl>
    <w:lvl w:ilvl="3" w:tplc="57D4B726" w:tentative="1">
      <w:start w:val="1"/>
      <w:numFmt w:val="bullet"/>
      <w:lvlText w:val=""/>
      <w:lvlJc w:val="left"/>
      <w:pPr>
        <w:ind w:left="2880" w:hanging="360"/>
      </w:pPr>
      <w:rPr>
        <w:rFonts w:ascii="Symbol" w:hAnsi="Symbol" w:hint="default"/>
      </w:rPr>
    </w:lvl>
    <w:lvl w:ilvl="4" w:tplc="E00475C4" w:tentative="1">
      <w:start w:val="1"/>
      <w:numFmt w:val="bullet"/>
      <w:lvlText w:val="o"/>
      <w:lvlJc w:val="left"/>
      <w:pPr>
        <w:ind w:left="3600" w:hanging="360"/>
      </w:pPr>
      <w:rPr>
        <w:rFonts w:ascii="Courier New" w:hAnsi="Courier New" w:cs="Courier New" w:hint="default"/>
      </w:rPr>
    </w:lvl>
    <w:lvl w:ilvl="5" w:tplc="4B92B78A" w:tentative="1">
      <w:start w:val="1"/>
      <w:numFmt w:val="bullet"/>
      <w:lvlText w:val=""/>
      <w:lvlJc w:val="left"/>
      <w:pPr>
        <w:ind w:left="4320" w:hanging="360"/>
      </w:pPr>
      <w:rPr>
        <w:rFonts w:ascii="Wingdings" w:hAnsi="Wingdings" w:hint="default"/>
      </w:rPr>
    </w:lvl>
    <w:lvl w:ilvl="6" w:tplc="B2863856" w:tentative="1">
      <w:start w:val="1"/>
      <w:numFmt w:val="bullet"/>
      <w:lvlText w:val=""/>
      <w:lvlJc w:val="left"/>
      <w:pPr>
        <w:ind w:left="5040" w:hanging="360"/>
      </w:pPr>
      <w:rPr>
        <w:rFonts w:ascii="Symbol" w:hAnsi="Symbol" w:hint="default"/>
      </w:rPr>
    </w:lvl>
    <w:lvl w:ilvl="7" w:tplc="983E0012" w:tentative="1">
      <w:start w:val="1"/>
      <w:numFmt w:val="bullet"/>
      <w:lvlText w:val="o"/>
      <w:lvlJc w:val="left"/>
      <w:pPr>
        <w:ind w:left="5760" w:hanging="360"/>
      </w:pPr>
      <w:rPr>
        <w:rFonts w:ascii="Courier New" w:hAnsi="Courier New" w:cs="Courier New" w:hint="default"/>
      </w:rPr>
    </w:lvl>
    <w:lvl w:ilvl="8" w:tplc="FDBA7486" w:tentative="1">
      <w:start w:val="1"/>
      <w:numFmt w:val="bullet"/>
      <w:lvlText w:val=""/>
      <w:lvlJc w:val="left"/>
      <w:pPr>
        <w:ind w:left="6480" w:hanging="360"/>
      </w:pPr>
      <w:rPr>
        <w:rFonts w:ascii="Wingdings" w:hAnsi="Wingdings" w:hint="default"/>
      </w:rPr>
    </w:lvl>
  </w:abstractNum>
  <w:abstractNum w:abstractNumId="3" w15:restartNumberingAfterBreak="0">
    <w:nsid w:val="47111252"/>
    <w:multiLevelType w:val="hybridMultilevel"/>
    <w:tmpl w:val="125EE1C2"/>
    <w:lvl w:ilvl="0" w:tplc="CBF4D520">
      <w:start w:val="1"/>
      <w:numFmt w:val="bullet"/>
      <w:lvlText w:val=""/>
      <w:lvlJc w:val="left"/>
      <w:pPr>
        <w:tabs>
          <w:tab w:val="num" w:pos="720"/>
        </w:tabs>
        <w:ind w:left="720" w:hanging="360"/>
      </w:pPr>
      <w:rPr>
        <w:rFonts w:ascii="Symbol" w:hAnsi="Symbol" w:hint="default"/>
      </w:rPr>
    </w:lvl>
    <w:lvl w:ilvl="1" w:tplc="C32E6352" w:tentative="1">
      <w:start w:val="1"/>
      <w:numFmt w:val="bullet"/>
      <w:lvlText w:val="o"/>
      <w:lvlJc w:val="left"/>
      <w:pPr>
        <w:ind w:left="1440" w:hanging="360"/>
      </w:pPr>
      <w:rPr>
        <w:rFonts w:ascii="Courier New" w:hAnsi="Courier New" w:cs="Courier New" w:hint="default"/>
      </w:rPr>
    </w:lvl>
    <w:lvl w:ilvl="2" w:tplc="BD8EA634" w:tentative="1">
      <w:start w:val="1"/>
      <w:numFmt w:val="bullet"/>
      <w:lvlText w:val=""/>
      <w:lvlJc w:val="left"/>
      <w:pPr>
        <w:ind w:left="2160" w:hanging="360"/>
      </w:pPr>
      <w:rPr>
        <w:rFonts w:ascii="Wingdings" w:hAnsi="Wingdings" w:hint="default"/>
      </w:rPr>
    </w:lvl>
    <w:lvl w:ilvl="3" w:tplc="917A688A" w:tentative="1">
      <w:start w:val="1"/>
      <w:numFmt w:val="bullet"/>
      <w:lvlText w:val=""/>
      <w:lvlJc w:val="left"/>
      <w:pPr>
        <w:ind w:left="2880" w:hanging="360"/>
      </w:pPr>
      <w:rPr>
        <w:rFonts w:ascii="Symbol" w:hAnsi="Symbol" w:hint="default"/>
      </w:rPr>
    </w:lvl>
    <w:lvl w:ilvl="4" w:tplc="D3F4D7D4" w:tentative="1">
      <w:start w:val="1"/>
      <w:numFmt w:val="bullet"/>
      <w:lvlText w:val="o"/>
      <w:lvlJc w:val="left"/>
      <w:pPr>
        <w:ind w:left="3600" w:hanging="360"/>
      </w:pPr>
      <w:rPr>
        <w:rFonts w:ascii="Courier New" w:hAnsi="Courier New" w:cs="Courier New" w:hint="default"/>
      </w:rPr>
    </w:lvl>
    <w:lvl w:ilvl="5" w:tplc="8A6E00A0" w:tentative="1">
      <w:start w:val="1"/>
      <w:numFmt w:val="bullet"/>
      <w:lvlText w:val=""/>
      <w:lvlJc w:val="left"/>
      <w:pPr>
        <w:ind w:left="4320" w:hanging="360"/>
      </w:pPr>
      <w:rPr>
        <w:rFonts w:ascii="Wingdings" w:hAnsi="Wingdings" w:hint="default"/>
      </w:rPr>
    </w:lvl>
    <w:lvl w:ilvl="6" w:tplc="7C5A244C" w:tentative="1">
      <w:start w:val="1"/>
      <w:numFmt w:val="bullet"/>
      <w:lvlText w:val=""/>
      <w:lvlJc w:val="left"/>
      <w:pPr>
        <w:ind w:left="5040" w:hanging="360"/>
      </w:pPr>
      <w:rPr>
        <w:rFonts w:ascii="Symbol" w:hAnsi="Symbol" w:hint="default"/>
      </w:rPr>
    </w:lvl>
    <w:lvl w:ilvl="7" w:tplc="C908C802" w:tentative="1">
      <w:start w:val="1"/>
      <w:numFmt w:val="bullet"/>
      <w:lvlText w:val="o"/>
      <w:lvlJc w:val="left"/>
      <w:pPr>
        <w:ind w:left="5760" w:hanging="360"/>
      </w:pPr>
      <w:rPr>
        <w:rFonts w:ascii="Courier New" w:hAnsi="Courier New" w:cs="Courier New" w:hint="default"/>
      </w:rPr>
    </w:lvl>
    <w:lvl w:ilvl="8" w:tplc="A9FCC152" w:tentative="1">
      <w:start w:val="1"/>
      <w:numFmt w:val="bullet"/>
      <w:lvlText w:val=""/>
      <w:lvlJc w:val="left"/>
      <w:pPr>
        <w:ind w:left="6480" w:hanging="360"/>
      </w:pPr>
      <w:rPr>
        <w:rFonts w:ascii="Wingdings" w:hAnsi="Wingdings" w:hint="default"/>
      </w:rPr>
    </w:lvl>
  </w:abstractNum>
  <w:abstractNum w:abstractNumId="4" w15:restartNumberingAfterBreak="0">
    <w:nsid w:val="4F890E87"/>
    <w:multiLevelType w:val="hybridMultilevel"/>
    <w:tmpl w:val="EC168C0C"/>
    <w:lvl w:ilvl="0" w:tplc="772EB070">
      <w:start w:val="1"/>
      <w:numFmt w:val="bullet"/>
      <w:lvlText w:val=""/>
      <w:lvlJc w:val="left"/>
      <w:pPr>
        <w:tabs>
          <w:tab w:val="num" w:pos="720"/>
        </w:tabs>
        <w:ind w:left="720" w:hanging="360"/>
      </w:pPr>
      <w:rPr>
        <w:rFonts w:ascii="Symbol" w:hAnsi="Symbol" w:hint="default"/>
      </w:rPr>
    </w:lvl>
    <w:lvl w:ilvl="1" w:tplc="3E1E63DC" w:tentative="1">
      <w:start w:val="1"/>
      <w:numFmt w:val="bullet"/>
      <w:lvlText w:val="o"/>
      <w:lvlJc w:val="left"/>
      <w:pPr>
        <w:ind w:left="1440" w:hanging="360"/>
      </w:pPr>
      <w:rPr>
        <w:rFonts w:ascii="Courier New" w:hAnsi="Courier New" w:cs="Courier New" w:hint="default"/>
      </w:rPr>
    </w:lvl>
    <w:lvl w:ilvl="2" w:tplc="635423F4" w:tentative="1">
      <w:start w:val="1"/>
      <w:numFmt w:val="bullet"/>
      <w:lvlText w:val=""/>
      <w:lvlJc w:val="left"/>
      <w:pPr>
        <w:ind w:left="2160" w:hanging="360"/>
      </w:pPr>
      <w:rPr>
        <w:rFonts w:ascii="Wingdings" w:hAnsi="Wingdings" w:hint="default"/>
      </w:rPr>
    </w:lvl>
    <w:lvl w:ilvl="3" w:tplc="918AC492" w:tentative="1">
      <w:start w:val="1"/>
      <w:numFmt w:val="bullet"/>
      <w:lvlText w:val=""/>
      <w:lvlJc w:val="left"/>
      <w:pPr>
        <w:ind w:left="2880" w:hanging="360"/>
      </w:pPr>
      <w:rPr>
        <w:rFonts w:ascii="Symbol" w:hAnsi="Symbol" w:hint="default"/>
      </w:rPr>
    </w:lvl>
    <w:lvl w:ilvl="4" w:tplc="A43075DA" w:tentative="1">
      <w:start w:val="1"/>
      <w:numFmt w:val="bullet"/>
      <w:lvlText w:val="o"/>
      <w:lvlJc w:val="left"/>
      <w:pPr>
        <w:ind w:left="3600" w:hanging="360"/>
      </w:pPr>
      <w:rPr>
        <w:rFonts w:ascii="Courier New" w:hAnsi="Courier New" w:cs="Courier New" w:hint="default"/>
      </w:rPr>
    </w:lvl>
    <w:lvl w:ilvl="5" w:tplc="B60C5D8A" w:tentative="1">
      <w:start w:val="1"/>
      <w:numFmt w:val="bullet"/>
      <w:lvlText w:val=""/>
      <w:lvlJc w:val="left"/>
      <w:pPr>
        <w:ind w:left="4320" w:hanging="360"/>
      </w:pPr>
      <w:rPr>
        <w:rFonts w:ascii="Wingdings" w:hAnsi="Wingdings" w:hint="default"/>
      </w:rPr>
    </w:lvl>
    <w:lvl w:ilvl="6" w:tplc="CF4C1A98" w:tentative="1">
      <w:start w:val="1"/>
      <w:numFmt w:val="bullet"/>
      <w:lvlText w:val=""/>
      <w:lvlJc w:val="left"/>
      <w:pPr>
        <w:ind w:left="5040" w:hanging="360"/>
      </w:pPr>
      <w:rPr>
        <w:rFonts w:ascii="Symbol" w:hAnsi="Symbol" w:hint="default"/>
      </w:rPr>
    </w:lvl>
    <w:lvl w:ilvl="7" w:tplc="7A8A691A" w:tentative="1">
      <w:start w:val="1"/>
      <w:numFmt w:val="bullet"/>
      <w:lvlText w:val="o"/>
      <w:lvlJc w:val="left"/>
      <w:pPr>
        <w:ind w:left="5760" w:hanging="360"/>
      </w:pPr>
      <w:rPr>
        <w:rFonts w:ascii="Courier New" w:hAnsi="Courier New" w:cs="Courier New" w:hint="default"/>
      </w:rPr>
    </w:lvl>
    <w:lvl w:ilvl="8" w:tplc="A55E8178" w:tentative="1">
      <w:start w:val="1"/>
      <w:numFmt w:val="bullet"/>
      <w:lvlText w:val=""/>
      <w:lvlJc w:val="left"/>
      <w:pPr>
        <w:ind w:left="6480" w:hanging="360"/>
      </w:pPr>
      <w:rPr>
        <w:rFonts w:ascii="Wingdings" w:hAnsi="Wingdings" w:hint="default"/>
      </w:rPr>
    </w:lvl>
  </w:abstractNum>
  <w:abstractNum w:abstractNumId="5" w15:restartNumberingAfterBreak="0">
    <w:nsid w:val="67EE6CC5"/>
    <w:multiLevelType w:val="hybridMultilevel"/>
    <w:tmpl w:val="196233F2"/>
    <w:lvl w:ilvl="0" w:tplc="F42CEBCA">
      <w:start w:val="1"/>
      <w:numFmt w:val="bullet"/>
      <w:lvlText w:val=""/>
      <w:lvlJc w:val="left"/>
      <w:pPr>
        <w:tabs>
          <w:tab w:val="num" w:pos="720"/>
        </w:tabs>
        <w:ind w:left="720" w:hanging="360"/>
      </w:pPr>
      <w:rPr>
        <w:rFonts w:ascii="Symbol" w:hAnsi="Symbol" w:hint="default"/>
      </w:rPr>
    </w:lvl>
    <w:lvl w:ilvl="1" w:tplc="62F0FFF0" w:tentative="1">
      <w:start w:val="1"/>
      <w:numFmt w:val="bullet"/>
      <w:lvlText w:val="o"/>
      <w:lvlJc w:val="left"/>
      <w:pPr>
        <w:ind w:left="1440" w:hanging="360"/>
      </w:pPr>
      <w:rPr>
        <w:rFonts w:ascii="Courier New" w:hAnsi="Courier New" w:cs="Courier New" w:hint="default"/>
      </w:rPr>
    </w:lvl>
    <w:lvl w:ilvl="2" w:tplc="383498E8" w:tentative="1">
      <w:start w:val="1"/>
      <w:numFmt w:val="bullet"/>
      <w:lvlText w:val=""/>
      <w:lvlJc w:val="left"/>
      <w:pPr>
        <w:ind w:left="2160" w:hanging="360"/>
      </w:pPr>
      <w:rPr>
        <w:rFonts w:ascii="Wingdings" w:hAnsi="Wingdings" w:hint="default"/>
      </w:rPr>
    </w:lvl>
    <w:lvl w:ilvl="3" w:tplc="85B85CB8" w:tentative="1">
      <w:start w:val="1"/>
      <w:numFmt w:val="bullet"/>
      <w:lvlText w:val=""/>
      <w:lvlJc w:val="left"/>
      <w:pPr>
        <w:ind w:left="2880" w:hanging="360"/>
      </w:pPr>
      <w:rPr>
        <w:rFonts w:ascii="Symbol" w:hAnsi="Symbol" w:hint="default"/>
      </w:rPr>
    </w:lvl>
    <w:lvl w:ilvl="4" w:tplc="85021EFE" w:tentative="1">
      <w:start w:val="1"/>
      <w:numFmt w:val="bullet"/>
      <w:lvlText w:val="o"/>
      <w:lvlJc w:val="left"/>
      <w:pPr>
        <w:ind w:left="3600" w:hanging="360"/>
      </w:pPr>
      <w:rPr>
        <w:rFonts w:ascii="Courier New" w:hAnsi="Courier New" w:cs="Courier New" w:hint="default"/>
      </w:rPr>
    </w:lvl>
    <w:lvl w:ilvl="5" w:tplc="6984448A" w:tentative="1">
      <w:start w:val="1"/>
      <w:numFmt w:val="bullet"/>
      <w:lvlText w:val=""/>
      <w:lvlJc w:val="left"/>
      <w:pPr>
        <w:ind w:left="4320" w:hanging="360"/>
      </w:pPr>
      <w:rPr>
        <w:rFonts w:ascii="Wingdings" w:hAnsi="Wingdings" w:hint="default"/>
      </w:rPr>
    </w:lvl>
    <w:lvl w:ilvl="6" w:tplc="D912207A" w:tentative="1">
      <w:start w:val="1"/>
      <w:numFmt w:val="bullet"/>
      <w:lvlText w:val=""/>
      <w:lvlJc w:val="left"/>
      <w:pPr>
        <w:ind w:left="5040" w:hanging="360"/>
      </w:pPr>
      <w:rPr>
        <w:rFonts w:ascii="Symbol" w:hAnsi="Symbol" w:hint="default"/>
      </w:rPr>
    </w:lvl>
    <w:lvl w:ilvl="7" w:tplc="565EED0A" w:tentative="1">
      <w:start w:val="1"/>
      <w:numFmt w:val="bullet"/>
      <w:lvlText w:val="o"/>
      <w:lvlJc w:val="left"/>
      <w:pPr>
        <w:ind w:left="5760" w:hanging="360"/>
      </w:pPr>
      <w:rPr>
        <w:rFonts w:ascii="Courier New" w:hAnsi="Courier New" w:cs="Courier New" w:hint="default"/>
      </w:rPr>
    </w:lvl>
    <w:lvl w:ilvl="8" w:tplc="44BAE644"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1"/>
    <w:rsid w:val="003E07E1"/>
    <w:rsid w:val="00DB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B9CB60-0725-49DA-BD83-8C9B6780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D5549"/>
    <w:rPr>
      <w:sz w:val="16"/>
      <w:szCs w:val="16"/>
    </w:rPr>
  </w:style>
  <w:style w:type="paragraph" w:styleId="CommentText">
    <w:name w:val="annotation text"/>
    <w:basedOn w:val="Normal"/>
    <w:link w:val="CommentTextChar"/>
    <w:unhideWhenUsed/>
    <w:rsid w:val="00ED5549"/>
    <w:rPr>
      <w:sz w:val="20"/>
      <w:szCs w:val="20"/>
    </w:rPr>
  </w:style>
  <w:style w:type="character" w:customStyle="1" w:styleId="CommentTextChar">
    <w:name w:val="Comment Text Char"/>
    <w:basedOn w:val="DefaultParagraphFont"/>
    <w:link w:val="CommentText"/>
    <w:rsid w:val="00ED5549"/>
  </w:style>
  <w:style w:type="paragraph" w:styleId="CommentSubject">
    <w:name w:val="annotation subject"/>
    <w:basedOn w:val="CommentText"/>
    <w:next w:val="CommentText"/>
    <w:link w:val="CommentSubjectChar"/>
    <w:semiHidden/>
    <w:unhideWhenUsed/>
    <w:rsid w:val="00ED5549"/>
    <w:rPr>
      <w:b/>
      <w:bCs/>
    </w:rPr>
  </w:style>
  <w:style w:type="character" w:customStyle="1" w:styleId="CommentSubjectChar">
    <w:name w:val="Comment Subject Char"/>
    <w:basedOn w:val="CommentTextChar"/>
    <w:link w:val="CommentSubject"/>
    <w:semiHidden/>
    <w:rsid w:val="00ED5549"/>
    <w:rPr>
      <w:b/>
      <w:bCs/>
    </w:rPr>
  </w:style>
  <w:style w:type="character" w:styleId="Hyperlink">
    <w:name w:val="Hyperlink"/>
    <w:basedOn w:val="DefaultParagraphFont"/>
    <w:uiPriority w:val="99"/>
    <w:semiHidden/>
    <w:unhideWhenUsed/>
    <w:rsid w:val="0015786D"/>
    <w:rPr>
      <w:color w:val="0000FF"/>
      <w:u w:val="single"/>
    </w:rPr>
  </w:style>
  <w:style w:type="character" w:styleId="FollowedHyperlink">
    <w:name w:val="FollowedHyperlink"/>
    <w:basedOn w:val="DefaultParagraphFont"/>
    <w:semiHidden/>
    <w:unhideWhenUsed/>
    <w:rsid w:val="00E27441"/>
    <w:rPr>
      <w:color w:val="800080" w:themeColor="followedHyperlink"/>
      <w:u w:val="single"/>
    </w:rPr>
  </w:style>
  <w:style w:type="paragraph" w:styleId="ListParagraph">
    <w:name w:val="List Paragraph"/>
    <w:basedOn w:val="Normal"/>
    <w:uiPriority w:val="34"/>
    <w:qFormat/>
    <w:rsid w:val="005A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4584</Characters>
  <Application>Microsoft Office Word</Application>
  <DocSecurity>4</DocSecurity>
  <Lines>106</Lines>
  <Paragraphs>38</Paragraphs>
  <ScaleCrop>false</ScaleCrop>
  <HeadingPairs>
    <vt:vector size="2" baseType="variant">
      <vt:variant>
        <vt:lpstr>Title</vt:lpstr>
      </vt:variant>
      <vt:variant>
        <vt:i4>1</vt:i4>
      </vt:variant>
    </vt:vector>
  </HeadingPairs>
  <TitlesOfParts>
    <vt:vector size="1" baseType="lpstr">
      <vt:lpstr>BA - HB03114 (Committee Report (Substituted))</vt:lpstr>
    </vt:vector>
  </TitlesOfParts>
  <Company>State of Texas</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24847</dc:subject>
  <dc:creator>State of Texas</dc:creator>
  <dc:description>HB 3114 by Kacal-(H)Environmental Regulation (Substitute Document Number: 86R 22186)</dc:description>
  <cp:lastModifiedBy>Laura Ramsay</cp:lastModifiedBy>
  <cp:revision>2</cp:revision>
  <cp:lastPrinted>2003-11-26T17:21:00Z</cp:lastPrinted>
  <dcterms:created xsi:type="dcterms:W3CDTF">2019-04-10T15:42:00Z</dcterms:created>
  <dcterms:modified xsi:type="dcterms:W3CDTF">2019-04-10T15:42:00Z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19.95.756</vt:lpwstr>
  </property>
</Properties>
</file>