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1C74" w:rsidTr="00345119">
        <w:tc>
          <w:tcPr>
            <w:tcW w:w="9576" w:type="dxa"/>
            <w:noWrap/>
          </w:tcPr>
          <w:p w:rsidR="008423E4" w:rsidRPr="0022177D" w:rsidRDefault="00DA45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45D0" w:rsidP="008423E4">
      <w:pPr>
        <w:jc w:val="center"/>
      </w:pPr>
    </w:p>
    <w:p w:rsidR="008423E4" w:rsidRPr="00B31F0E" w:rsidRDefault="00DA45D0" w:rsidP="008423E4"/>
    <w:p w:rsidR="008423E4" w:rsidRPr="00742794" w:rsidRDefault="00DA45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1C74" w:rsidTr="00345119">
        <w:tc>
          <w:tcPr>
            <w:tcW w:w="9576" w:type="dxa"/>
          </w:tcPr>
          <w:p w:rsidR="008423E4" w:rsidRPr="00861995" w:rsidRDefault="00DA45D0" w:rsidP="00345119">
            <w:pPr>
              <w:jc w:val="right"/>
            </w:pPr>
            <w:r>
              <w:t>H.B. 3130</w:t>
            </w:r>
          </w:p>
        </w:tc>
      </w:tr>
      <w:tr w:rsidR="00C61C74" w:rsidTr="00345119">
        <w:tc>
          <w:tcPr>
            <w:tcW w:w="9576" w:type="dxa"/>
          </w:tcPr>
          <w:p w:rsidR="008423E4" w:rsidRPr="00861995" w:rsidRDefault="00DA45D0" w:rsidP="00A001C2">
            <w:pPr>
              <w:jc w:val="right"/>
            </w:pPr>
            <w:r>
              <w:t xml:space="preserve">By: </w:t>
            </w:r>
            <w:r>
              <w:t>Middleton</w:t>
            </w:r>
          </w:p>
        </w:tc>
      </w:tr>
      <w:tr w:rsidR="00C61C74" w:rsidTr="00345119">
        <w:tc>
          <w:tcPr>
            <w:tcW w:w="9576" w:type="dxa"/>
          </w:tcPr>
          <w:p w:rsidR="008423E4" w:rsidRPr="00861995" w:rsidRDefault="00DA45D0" w:rsidP="00345119">
            <w:pPr>
              <w:jc w:val="right"/>
            </w:pPr>
            <w:r>
              <w:t>Pensions, Investments &amp; Financial Services</w:t>
            </w:r>
          </w:p>
        </w:tc>
      </w:tr>
      <w:tr w:rsidR="00C61C74" w:rsidTr="00345119">
        <w:tc>
          <w:tcPr>
            <w:tcW w:w="9576" w:type="dxa"/>
          </w:tcPr>
          <w:p w:rsidR="008423E4" w:rsidRDefault="00DA45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A45D0" w:rsidP="008423E4">
      <w:pPr>
        <w:tabs>
          <w:tab w:val="right" w:pos="9360"/>
        </w:tabs>
      </w:pPr>
    </w:p>
    <w:p w:rsidR="008423E4" w:rsidRDefault="00DA45D0" w:rsidP="008423E4"/>
    <w:p w:rsidR="008423E4" w:rsidRDefault="00DA45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61C74" w:rsidTr="00345119">
        <w:tc>
          <w:tcPr>
            <w:tcW w:w="9576" w:type="dxa"/>
          </w:tcPr>
          <w:p w:rsidR="008423E4" w:rsidRPr="00A8133F" w:rsidRDefault="00DA45D0" w:rsidP="000A29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A45D0" w:rsidP="000A298B"/>
          <w:p w:rsidR="008423E4" w:rsidRDefault="00DA45D0" w:rsidP="000A298B">
            <w:pPr>
              <w:pStyle w:val="Header"/>
              <w:jc w:val="both"/>
            </w:pPr>
            <w:r>
              <w:t xml:space="preserve">It has been suggested that the practice of certain public school districts and open-enrollment charter schools to apply </w:t>
            </w:r>
            <w:r w:rsidRPr="00FE2F1E">
              <w:t xml:space="preserve">certain federal refundable tax credit payments received in connection with a build America bond, qualified school construction bond, or </w:t>
            </w:r>
            <w:r w:rsidRPr="00FE2F1E">
              <w:t xml:space="preserve">qualified zone academy bond </w:t>
            </w:r>
            <w:r>
              <w:t xml:space="preserve">to the credit of the district or charter school's maintenance and operations expenses improperly avoids recapture payments to the state and </w:t>
            </w:r>
            <w:r>
              <w:t>obfuscates the real picture of a district or charter school's finances</w:t>
            </w:r>
            <w:r>
              <w:t xml:space="preserve">. H.B. 3130 seeks </w:t>
            </w:r>
            <w:r>
              <w:t>to prohibit this practice by requiring those payments to be deposited to the credit of the interest and sinking fund established for the applicable bond.</w:t>
            </w:r>
          </w:p>
          <w:p w:rsidR="008423E4" w:rsidRPr="00E26B13" w:rsidRDefault="00DA45D0" w:rsidP="000A298B">
            <w:pPr>
              <w:rPr>
                <w:b/>
              </w:rPr>
            </w:pPr>
          </w:p>
        </w:tc>
      </w:tr>
      <w:tr w:rsidR="00C61C74" w:rsidTr="00345119">
        <w:tc>
          <w:tcPr>
            <w:tcW w:w="9576" w:type="dxa"/>
          </w:tcPr>
          <w:p w:rsidR="0017725B" w:rsidRDefault="00DA45D0" w:rsidP="000A29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A45D0" w:rsidP="000A298B">
            <w:pPr>
              <w:rPr>
                <w:b/>
                <w:u w:val="single"/>
              </w:rPr>
            </w:pPr>
          </w:p>
          <w:p w:rsidR="00D51162" w:rsidRPr="00D51162" w:rsidRDefault="00DA45D0" w:rsidP="000A298B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A45D0" w:rsidP="000A298B">
            <w:pPr>
              <w:rPr>
                <w:b/>
                <w:u w:val="single"/>
              </w:rPr>
            </w:pPr>
          </w:p>
        </w:tc>
      </w:tr>
      <w:tr w:rsidR="00C61C74" w:rsidTr="00345119">
        <w:tc>
          <w:tcPr>
            <w:tcW w:w="9576" w:type="dxa"/>
          </w:tcPr>
          <w:p w:rsidR="008423E4" w:rsidRPr="00A8133F" w:rsidRDefault="00DA45D0" w:rsidP="000A29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A45D0" w:rsidP="000A298B"/>
          <w:p w:rsidR="00D51162" w:rsidRDefault="00DA45D0" w:rsidP="000A29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:rsidR="008423E4" w:rsidRPr="00E21FDC" w:rsidRDefault="00DA45D0" w:rsidP="000A298B">
            <w:pPr>
              <w:rPr>
                <w:b/>
              </w:rPr>
            </w:pPr>
          </w:p>
        </w:tc>
      </w:tr>
      <w:tr w:rsidR="00C61C74" w:rsidTr="00345119">
        <w:tc>
          <w:tcPr>
            <w:tcW w:w="9576" w:type="dxa"/>
          </w:tcPr>
          <w:p w:rsidR="008423E4" w:rsidRPr="00A8133F" w:rsidRDefault="00DA45D0" w:rsidP="000A29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A45D0" w:rsidP="000A298B"/>
          <w:p w:rsidR="008423E4" w:rsidRDefault="00DA45D0" w:rsidP="000A29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3130 amends the Education Code to require a public school district or </w:t>
            </w:r>
            <w:r w:rsidRPr="00D763D0">
              <w:t xml:space="preserve">open-enrollment charter school </w:t>
            </w:r>
            <w:r>
              <w:t>to</w:t>
            </w:r>
            <w:r w:rsidRPr="00D763D0">
              <w:t xml:space="preserve"> deposi</w:t>
            </w:r>
            <w:r w:rsidRPr="00D763D0">
              <w:t xml:space="preserve">t </w:t>
            </w:r>
            <w:r>
              <w:t>certain</w:t>
            </w:r>
            <w:r>
              <w:t xml:space="preserve"> </w:t>
            </w:r>
            <w:r w:rsidRPr="00D763D0">
              <w:t>federal refundable tax credit payment</w:t>
            </w:r>
            <w:r>
              <w:t>s</w:t>
            </w:r>
            <w:r w:rsidRPr="00D763D0">
              <w:t xml:space="preserve"> received in connection with </w:t>
            </w:r>
            <w:r>
              <w:t>a build America bond, qualified school construction bond, or qualified zone academy bond</w:t>
            </w:r>
            <w:r w:rsidRPr="00D763D0">
              <w:t xml:space="preserve"> issued by or on behalf of the district or charter school to the credit of the interest and sinking fund established for that bond.</w:t>
            </w:r>
          </w:p>
          <w:p w:rsidR="008423E4" w:rsidRPr="00835628" w:rsidRDefault="00DA45D0" w:rsidP="000A298B">
            <w:pPr>
              <w:rPr>
                <w:b/>
              </w:rPr>
            </w:pPr>
          </w:p>
        </w:tc>
      </w:tr>
      <w:tr w:rsidR="00C61C74" w:rsidTr="00345119">
        <w:tc>
          <w:tcPr>
            <w:tcW w:w="9576" w:type="dxa"/>
          </w:tcPr>
          <w:p w:rsidR="008423E4" w:rsidRPr="00A8133F" w:rsidRDefault="00DA45D0" w:rsidP="000A29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A45D0" w:rsidP="000A298B"/>
          <w:p w:rsidR="008423E4" w:rsidRPr="003624F2" w:rsidRDefault="00DA45D0" w:rsidP="000A29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A45D0" w:rsidP="000A298B">
            <w:pPr>
              <w:rPr>
                <w:b/>
              </w:rPr>
            </w:pPr>
          </w:p>
        </w:tc>
      </w:tr>
    </w:tbl>
    <w:p w:rsidR="008423E4" w:rsidRPr="00BE0E75" w:rsidRDefault="00DA45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A45D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45D0">
      <w:r>
        <w:separator/>
      </w:r>
    </w:p>
  </w:endnote>
  <w:endnote w:type="continuationSeparator" w:id="0">
    <w:p w:rsidR="00000000" w:rsidRDefault="00DA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4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1C74" w:rsidTr="009C1E9A">
      <w:trPr>
        <w:cantSplit/>
      </w:trPr>
      <w:tc>
        <w:tcPr>
          <w:tcW w:w="0" w:type="pct"/>
        </w:tcPr>
        <w:p w:rsidR="00137D90" w:rsidRDefault="00DA45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45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45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45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45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1C74" w:rsidTr="009C1E9A">
      <w:trPr>
        <w:cantSplit/>
      </w:trPr>
      <w:tc>
        <w:tcPr>
          <w:tcW w:w="0" w:type="pct"/>
        </w:tcPr>
        <w:p w:rsidR="00EC379B" w:rsidRDefault="00DA45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45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26051</w:t>
          </w:r>
        </w:p>
      </w:tc>
      <w:tc>
        <w:tcPr>
          <w:tcW w:w="2453" w:type="pct"/>
        </w:tcPr>
        <w:p w:rsidR="00EC379B" w:rsidRDefault="00DA45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19.101.1200</w:t>
          </w:r>
          <w:r>
            <w:fldChar w:fldCharType="end"/>
          </w:r>
        </w:p>
      </w:tc>
    </w:tr>
    <w:tr w:rsidR="00C61C74" w:rsidTr="009C1E9A">
      <w:trPr>
        <w:cantSplit/>
      </w:trPr>
      <w:tc>
        <w:tcPr>
          <w:tcW w:w="0" w:type="pct"/>
        </w:tcPr>
        <w:p w:rsidR="00EC379B" w:rsidRDefault="00DA45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45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A45D0" w:rsidP="006D504F">
          <w:pPr>
            <w:pStyle w:val="Footer"/>
            <w:rPr>
              <w:rStyle w:val="PageNumber"/>
            </w:rPr>
          </w:pPr>
        </w:p>
        <w:p w:rsidR="00EC379B" w:rsidRDefault="00DA45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1C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45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A45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45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4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45D0">
      <w:r>
        <w:separator/>
      </w:r>
    </w:p>
  </w:footnote>
  <w:footnote w:type="continuationSeparator" w:id="0">
    <w:p w:rsidR="00000000" w:rsidRDefault="00DA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4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4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4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74"/>
    <w:rsid w:val="00C61C74"/>
    <w:rsid w:val="00D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1E2BAD-E48A-4212-B17E-99A0C80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customStyle="1" w:styleId="Default">
    <w:name w:val="Default"/>
    <w:rsid w:val="00D763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63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6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63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63D0"/>
    <w:rPr>
      <w:b/>
      <w:bCs/>
    </w:rPr>
  </w:style>
  <w:style w:type="paragraph" w:styleId="Revision">
    <w:name w:val="Revision"/>
    <w:hidden/>
    <w:uiPriority w:val="99"/>
    <w:semiHidden/>
    <w:rsid w:val="00C140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HB03130 (Committee Report (Unamended))</vt:lpstr>
    </vt:vector>
  </TitlesOfParts>
  <Company>State of Texas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26051</dc:subject>
  <dc:creator>State of Texas</dc:creator>
  <dc:description>HB 3130 by Middleton-(H)Pensions, Investments &amp; Financial Services</dc:description>
  <cp:lastModifiedBy>Stacey Nicchio</cp:lastModifiedBy>
  <cp:revision>2</cp:revision>
  <cp:lastPrinted>2003-11-26T17:21:00Z</cp:lastPrinted>
  <dcterms:created xsi:type="dcterms:W3CDTF">2019-04-26T20:21:00Z</dcterms:created>
  <dcterms:modified xsi:type="dcterms:W3CDTF">2019-04-26T20:21:00Z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19.101.1200</vt:lpwstr>
  </property>
</Properties>
</file>