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88" w:rsidRDefault="005367F3"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37AF5" w:rsidTr="00345119">
        <w:tc>
          <w:tcPr>
            <w:tcW w:w="9576" w:type="dxa"/>
            <w:noWrap/>
          </w:tcPr>
          <w:p w:rsidR="008423E4" w:rsidRPr="0022177D" w:rsidRDefault="005367F3" w:rsidP="00345119">
            <w:pPr>
              <w:pStyle w:val="Heading1"/>
            </w:pPr>
            <w:r w:rsidRPr="00631897">
              <w:t>BILL ANALYSIS</w:t>
            </w:r>
          </w:p>
        </w:tc>
      </w:tr>
    </w:tbl>
    <w:p w:rsidR="008423E4" w:rsidRPr="0022177D" w:rsidRDefault="005367F3" w:rsidP="008423E4">
      <w:pPr>
        <w:jc w:val="center"/>
      </w:pPr>
    </w:p>
    <w:p w:rsidR="008423E4" w:rsidRPr="00B31F0E" w:rsidRDefault="005367F3" w:rsidP="008423E4"/>
    <w:p w:rsidR="008423E4" w:rsidRPr="00742794" w:rsidRDefault="005367F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37AF5" w:rsidTr="00345119">
        <w:tc>
          <w:tcPr>
            <w:tcW w:w="9576" w:type="dxa"/>
          </w:tcPr>
          <w:p w:rsidR="008423E4" w:rsidRPr="00861995" w:rsidRDefault="005367F3" w:rsidP="00345119">
            <w:pPr>
              <w:jc w:val="right"/>
            </w:pPr>
            <w:r>
              <w:t>H.B. 3136</w:t>
            </w:r>
          </w:p>
        </w:tc>
      </w:tr>
      <w:tr w:rsidR="00137AF5" w:rsidTr="00345119">
        <w:tc>
          <w:tcPr>
            <w:tcW w:w="9576" w:type="dxa"/>
          </w:tcPr>
          <w:p w:rsidR="008423E4" w:rsidRPr="00861995" w:rsidRDefault="005367F3" w:rsidP="00632A9F">
            <w:pPr>
              <w:jc w:val="right"/>
            </w:pPr>
            <w:r>
              <w:t xml:space="preserve">By: </w:t>
            </w:r>
            <w:r>
              <w:t>Cain</w:t>
            </w:r>
          </w:p>
        </w:tc>
      </w:tr>
      <w:tr w:rsidR="00137AF5" w:rsidTr="00345119">
        <w:tc>
          <w:tcPr>
            <w:tcW w:w="9576" w:type="dxa"/>
          </w:tcPr>
          <w:p w:rsidR="008423E4" w:rsidRPr="00861995" w:rsidRDefault="005367F3" w:rsidP="00345119">
            <w:pPr>
              <w:jc w:val="right"/>
            </w:pPr>
            <w:r>
              <w:t>Judiciary &amp; Civil Jurisprudence</w:t>
            </w:r>
          </w:p>
        </w:tc>
      </w:tr>
      <w:tr w:rsidR="00137AF5" w:rsidTr="00345119">
        <w:tc>
          <w:tcPr>
            <w:tcW w:w="9576" w:type="dxa"/>
          </w:tcPr>
          <w:p w:rsidR="008423E4" w:rsidRDefault="005367F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367F3" w:rsidP="008423E4">
      <w:pPr>
        <w:tabs>
          <w:tab w:val="right" w:pos="9360"/>
        </w:tabs>
      </w:pPr>
    </w:p>
    <w:p w:rsidR="008423E4" w:rsidRDefault="005367F3" w:rsidP="008423E4"/>
    <w:p w:rsidR="008423E4" w:rsidRDefault="005367F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37AF5" w:rsidTr="00345119">
        <w:tc>
          <w:tcPr>
            <w:tcW w:w="9576" w:type="dxa"/>
          </w:tcPr>
          <w:p w:rsidR="008423E4" w:rsidRPr="00A8133F" w:rsidRDefault="005367F3" w:rsidP="00AA548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367F3" w:rsidP="00AA5488"/>
          <w:p w:rsidR="008423E4" w:rsidRDefault="005367F3" w:rsidP="00AA5488">
            <w:pPr>
              <w:pStyle w:val="Header"/>
              <w:jc w:val="both"/>
            </w:pPr>
            <w:r>
              <w:t xml:space="preserve">Concerns have been raised regarding </w:t>
            </w:r>
            <w:r>
              <w:t xml:space="preserve">a </w:t>
            </w:r>
            <w:r>
              <w:t xml:space="preserve">potential </w:t>
            </w:r>
            <w:r>
              <w:t>oversight</w:t>
            </w:r>
            <w:r>
              <w:t xml:space="preserve"> in state law regarding the offense for </w:t>
            </w:r>
            <w:r>
              <w:t xml:space="preserve">the possession of </w:t>
            </w:r>
            <w:r>
              <w:t xml:space="preserve">a </w:t>
            </w:r>
            <w:r>
              <w:t>prohibited weapon</w:t>
            </w:r>
            <w:r>
              <w:t xml:space="preserve"> on the premises of </w:t>
            </w:r>
            <w:r>
              <w:t xml:space="preserve">certain </w:t>
            </w:r>
            <w:r>
              <w:t>government court</w:t>
            </w:r>
            <w:r>
              <w:t>s</w:t>
            </w:r>
            <w:r>
              <w:t xml:space="preserve"> or offices utilized by </w:t>
            </w:r>
            <w:r>
              <w:t xml:space="preserve">such a </w:t>
            </w:r>
            <w:r>
              <w:t xml:space="preserve">court. </w:t>
            </w:r>
            <w:r>
              <w:t>It has been suggested that the conduct</w:t>
            </w:r>
            <w:r>
              <w:t xml:space="preserve"> constituting </w:t>
            </w:r>
            <w:r>
              <w:t>this</w:t>
            </w:r>
            <w:r>
              <w:t xml:space="preserve"> offense</w:t>
            </w:r>
            <w:r>
              <w:t xml:space="preserve"> inadvertently applies only </w:t>
            </w:r>
            <w:r>
              <w:t xml:space="preserve">to a limited area of those premises, which was not the original </w:t>
            </w:r>
            <w:r>
              <w:t xml:space="preserve">intent of the enacting legislation and </w:t>
            </w:r>
            <w:r>
              <w:t xml:space="preserve">could lead to someone unknowingly committing a crime </w:t>
            </w:r>
            <w:r>
              <w:t>for such possession</w:t>
            </w:r>
            <w:r>
              <w:t xml:space="preserve"> despite receiving prior authorization </w:t>
            </w:r>
            <w:r>
              <w:t>for the possession</w:t>
            </w:r>
            <w:r>
              <w:t>.</w:t>
            </w:r>
            <w:r>
              <w:t xml:space="preserve"> H.B. 3136 seeks to address this issue by revising </w:t>
            </w:r>
            <w:r>
              <w:t>certain elements of</w:t>
            </w:r>
            <w:r>
              <w:t xml:space="preserve"> </w:t>
            </w:r>
            <w:r>
              <w:t>the</w:t>
            </w:r>
            <w:r>
              <w:t xml:space="preserve"> offense</w:t>
            </w:r>
            <w:r>
              <w:t>.</w:t>
            </w:r>
          </w:p>
          <w:p w:rsidR="008423E4" w:rsidRPr="00E26B13" w:rsidRDefault="005367F3" w:rsidP="00AA5488">
            <w:pPr>
              <w:rPr>
                <w:b/>
              </w:rPr>
            </w:pPr>
          </w:p>
        </w:tc>
      </w:tr>
      <w:tr w:rsidR="00137AF5" w:rsidTr="00345119">
        <w:tc>
          <w:tcPr>
            <w:tcW w:w="9576" w:type="dxa"/>
          </w:tcPr>
          <w:p w:rsidR="0017725B" w:rsidRDefault="005367F3" w:rsidP="00AA548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>RIMINAL JUSTICE IMPACT</w:t>
            </w:r>
          </w:p>
          <w:p w:rsidR="0017725B" w:rsidRDefault="005367F3" w:rsidP="00AA5488">
            <w:pPr>
              <w:rPr>
                <w:b/>
                <w:u w:val="single"/>
              </w:rPr>
            </w:pPr>
          </w:p>
          <w:p w:rsidR="00CB3370" w:rsidRPr="00CB3370" w:rsidRDefault="005367F3" w:rsidP="00AA5488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</w:t>
            </w:r>
            <w:r>
              <w:t>supervision, parole, or mandatory supervision.</w:t>
            </w:r>
          </w:p>
          <w:p w:rsidR="0017725B" w:rsidRPr="0017725B" w:rsidRDefault="005367F3" w:rsidP="00AA5488">
            <w:pPr>
              <w:rPr>
                <w:b/>
                <w:u w:val="single"/>
              </w:rPr>
            </w:pPr>
          </w:p>
        </w:tc>
      </w:tr>
      <w:tr w:rsidR="00137AF5" w:rsidTr="00345119">
        <w:tc>
          <w:tcPr>
            <w:tcW w:w="9576" w:type="dxa"/>
          </w:tcPr>
          <w:p w:rsidR="008423E4" w:rsidRPr="00A8133F" w:rsidRDefault="005367F3" w:rsidP="00AA548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367F3" w:rsidP="00AA5488"/>
          <w:p w:rsidR="00CB3370" w:rsidRDefault="005367F3" w:rsidP="00AA54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367F3" w:rsidP="00AA5488">
            <w:pPr>
              <w:rPr>
                <w:b/>
              </w:rPr>
            </w:pPr>
          </w:p>
        </w:tc>
      </w:tr>
      <w:tr w:rsidR="00137AF5" w:rsidTr="00345119">
        <w:tc>
          <w:tcPr>
            <w:tcW w:w="9576" w:type="dxa"/>
          </w:tcPr>
          <w:p w:rsidR="008423E4" w:rsidRPr="00A8133F" w:rsidRDefault="005367F3" w:rsidP="00AA548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367F3" w:rsidP="00AA5488"/>
          <w:p w:rsidR="00442DB7" w:rsidRDefault="005367F3" w:rsidP="00AA54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3136</w:t>
            </w:r>
            <w:r>
              <w:t xml:space="preserve"> amends the Penal Code to </w:t>
            </w:r>
            <w:r>
              <w:t xml:space="preserve">authorize a person who receives written authorization from a court to carry a </w:t>
            </w:r>
            <w:r w:rsidRPr="00AE5079">
              <w:t>firearm, location-restricted knife, club, or prohibited weapon</w:t>
            </w:r>
            <w:r>
              <w:t xml:space="preserve"> on the </w:t>
            </w:r>
            <w:r>
              <w:t>premises</w:t>
            </w:r>
            <w:r>
              <w:t xml:space="preserve"> of the court or offices utilized by the court to carry the weapon</w:t>
            </w:r>
            <w:r>
              <w:t xml:space="preserve"> pursuan</w:t>
            </w:r>
            <w:r>
              <w:t>t to such authorization</w:t>
            </w:r>
            <w:r>
              <w:t xml:space="preserve"> on the premises of any court located on the same premises as the authorizing court or offices utilized by any such c</w:t>
            </w:r>
            <w:r>
              <w:t>ourt</w:t>
            </w:r>
            <w:r>
              <w:t>.</w:t>
            </w:r>
          </w:p>
          <w:p w:rsidR="008423E4" w:rsidRPr="00835628" w:rsidRDefault="005367F3" w:rsidP="00AA5488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</w:tr>
      <w:tr w:rsidR="00137AF5" w:rsidTr="00345119">
        <w:tc>
          <w:tcPr>
            <w:tcW w:w="9576" w:type="dxa"/>
          </w:tcPr>
          <w:p w:rsidR="008423E4" w:rsidRPr="00A8133F" w:rsidRDefault="005367F3" w:rsidP="00AA548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367F3" w:rsidP="00AA5488"/>
          <w:p w:rsidR="008423E4" w:rsidRPr="003624F2" w:rsidRDefault="005367F3" w:rsidP="00AA548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367F3" w:rsidP="00AA5488">
            <w:pPr>
              <w:rPr>
                <w:b/>
              </w:rPr>
            </w:pPr>
          </w:p>
        </w:tc>
      </w:tr>
    </w:tbl>
    <w:p w:rsidR="008423E4" w:rsidRPr="00BE0E75" w:rsidRDefault="005367F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367F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367F3">
      <w:r>
        <w:separator/>
      </w:r>
    </w:p>
  </w:endnote>
  <w:endnote w:type="continuationSeparator" w:id="0">
    <w:p w:rsidR="00000000" w:rsidRDefault="0053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6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37AF5" w:rsidTr="009C1E9A">
      <w:trPr>
        <w:cantSplit/>
      </w:trPr>
      <w:tc>
        <w:tcPr>
          <w:tcW w:w="0" w:type="pct"/>
        </w:tcPr>
        <w:p w:rsidR="00137D90" w:rsidRDefault="005367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367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367F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367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367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7AF5" w:rsidTr="009C1E9A">
      <w:trPr>
        <w:cantSplit/>
      </w:trPr>
      <w:tc>
        <w:tcPr>
          <w:tcW w:w="0" w:type="pct"/>
        </w:tcPr>
        <w:p w:rsidR="00EC379B" w:rsidRDefault="005367F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367F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28995</w:t>
          </w:r>
        </w:p>
      </w:tc>
      <w:tc>
        <w:tcPr>
          <w:tcW w:w="2453" w:type="pct"/>
        </w:tcPr>
        <w:p w:rsidR="00EC379B" w:rsidRDefault="005367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19.109.984</w:t>
          </w:r>
          <w:r>
            <w:fldChar w:fldCharType="end"/>
          </w:r>
        </w:p>
      </w:tc>
    </w:tr>
    <w:tr w:rsidR="00137AF5" w:rsidTr="009C1E9A">
      <w:trPr>
        <w:cantSplit/>
      </w:trPr>
      <w:tc>
        <w:tcPr>
          <w:tcW w:w="0" w:type="pct"/>
        </w:tcPr>
        <w:p w:rsidR="00EC379B" w:rsidRDefault="005367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367F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367F3" w:rsidP="006D504F">
          <w:pPr>
            <w:pStyle w:val="Footer"/>
            <w:rPr>
              <w:rStyle w:val="PageNumber"/>
            </w:rPr>
          </w:pPr>
        </w:p>
        <w:p w:rsidR="00EC379B" w:rsidRDefault="005367F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37AF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367F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5367F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367F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6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367F3">
      <w:r>
        <w:separator/>
      </w:r>
    </w:p>
  </w:footnote>
  <w:footnote w:type="continuationSeparator" w:id="0">
    <w:p w:rsidR="00000000" w:rsidRDefault="0053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6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67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536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F5"/>
    <w:rsid w:val="00137AF5"/>
    <w:rsid w:val="0053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0DDE36-EE12-44CB-8C2E-413F1F2E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42DB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4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42DB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4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42DB7"/>
    <w:rPr>
      <w:b/>
      <w:bCs/>
    </w:rPr>
  </w:style>
  <w:style w:type="paragraph" w:styleId="Revision">
    <w:name w:val="Revision"/>
    <w:hidden/>
    <w:uiPriority w:val="99"/>
    <w:semiHidden/>
    <w:rsid w:val="00586C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1417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HB03136 (Committee Report (Unamended))</vt:lpstr>
    </vt:vector>
  </TitlesOfParts>
  <Company>State of Texas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28995</dc:subject>
  <dc:creator>State of Texas</dc:creator>
  <dc:description>HB 3136 by Cain-(H)Judiciary &amp; Civil Jurisprudence</dc:description>
  <cp:lastModifiedBy>Scotty Wimberley</cp:lastModifiedBy>
  <cp:revision>2</cp:revision>
  <cp:lastPrinted>2003-11-26T17:21:00Z</cp:lastPrinted>
  <dcterms:created xsi:type="dcterms:W3CDTF">2019-05-03T20:21:00Z</dcterms:created>
  <dcterms:modified xsi:type="dcterms:W3CDTF">2019-05-03T20:21:00Z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19.109.984</vt:lpwstr>
  </property>
</Properties>
</file>