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030C" w:rsidTr="00345119">
        <w:tc>
          <w:tcPr>
            <w:tcW w:w="9576" w:type="dxa"/>
            <w:noWrap/>
          </w:tcPr>
          <w:p w:rsidR="008423E4" w:rsidRPr="0022177D" w:rsidRDefault="008103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103DB" w:rsidP="008423E4">
      <w:pPr>
        <w:jc w:val="center"/>
      </w:pPr>
    </w:p>
    <w:p w:rsidR="008423E4" w:rsidRPr="00B31F0E" w:rsidRDefault="008103DB" w:rsidP="008423E4"/>
    <w:p w:rsidR="008423E4" w:rsidRPr="00742794" w:rsidRDefault="008103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030C" w:rsidTr="00345119">
        <w:tc>
          <w:tcPr>
            <w:tcW w:w="9576" w:type="dxa"/>
          </w:tcPr>
          <w:p w:rsidR="008423E4" w:rsidRPr="00861995" w:rsidRDefault="008103DB" w:rsidP="00345119">
            <w:pPr>
              <w:jc w:val="right"/>
            </w:pPr>
            <w:r>
              <w:t>C.S.H.B. 3143</w:t>
            </w:r>
          </w:p>
        </w:tc>
      </w:tr>
      <w:tr w:rsidR="006B030C" w:rsidTr="00345119">
        <w:tc>
          <w:tcPr>
            <w:tcW w:w="9576" w:type="dxa"/>
          </w:tcPr>
          <w:p w:rsidR="008423E4" w:rsidRPr="00861995" w:rsidRDefault="008103DB" w:rsidP="00154855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6B030C" w:rsidTr="00345119">
        <w:tc>
          <w:tcPr>
            <w:tcW w:w="9576" w:type="dxa"/>
          </w:tcPr>
          <w:p w:rsidR="008423E4" w:rsidRPr="00861995" w:rsidRDefault="008103DB" w:rsidP="00345119">
            <w:pPr>
              <w:jc w:val="right"/>
            </w:pPr>
            <w:r>
              <w:t>Ways &amp; Means</w:t>
            </w:r>
          </w:p>
        </w:tc>
      </w:tr>
      <w:tr w:rsidR="006B030C" w:rsidTr="00345119">
        <w:tc>
          <w:tcPr>
            <w:tcW w:w="9576" w:type="dxa"/>
          </w:tcPr>
          <w:p w:rsidR="008423E4" w:rsidRDefault="008103D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103DB" w:rsidP="008423E4">
      <w:pPr>
        <w:tabs>
          <w:tab w:val="right" w:pos="9360"/>
        </w:tabs>
      </w:pPr>
    </w:p>
    <w:p w:rsidR="008423E4" w:rsidRDefault="008103DB" w:rsidP="008423E4"/>
    <w:p w:rsidR="008423E4" w:rsidRDefault="008103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030C" w:rsidTr="00345119">
        <w:tc>
          <w:tcPr>
            <w:tcW w:w="9576" w:type="dxa"/>
          </w:tcPr>
          <w:p w:rsidR="008423E4" w:rsidRPr="00A8133F" w:rsidRDefault="008103DB" w:rsidP="00B314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103DB" w:rsidP="00B314DF"/>
          <w:p w:rsidR="008423E4" w:rsidRDefault="008103DB" w:rsidP="00B314DF">
            <w:pPr>
              <w:pStyle w:val="Header"/>
              <w:jc w:val="both"/>
            </w:pPr>
            <w:r>
              <w:t xml:space="preserve">It has been suggested that the </w:t>
            </w:r>
            <w:r>
              <w:t xml:space="preserve">Property Redevelopment and Tax Abatement Act, </w:t>
            </w:r>
            <w:r>
              <w:t xml:space="preserve">which </w:t>
            </w:r>
            <w:r>
              <w:t xml:space="preserve">provides certain taxing units with the ability to </w:t>
            </w:r>
            <w:r>
              <w:t>provide tax abatement agreements to property owners</w:t>
            </w:r>
            <w:r>
              <w:t>,</w:t>
            </w:r>
            <w:r>
              <w:t xml:space="preserve"> </w:t>
            </w:r>
            <w:r>
              <w:t>is in need of revision to improve the act and increase transparency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3143 </w:t>
            </w:r>
            <w:r>
              <w:t>seeks to provide those revisions</w:t>
            </w:r>
            <w:r>
              <w:t>.</w:t>
            </w:r>
          </w:p>
          <w:p w:rsidR="008423E4" w:rsidRPr="00E26B13" w:rsidRDefault="008103DB" w:rsidP="00B314DF">
            <w:pPr>
              <w:rPr>
                <w:b/>
              </w:rPr>
            </w:pPr>
          </w:p>
        </w:tc>
      </w:tr>
      <w:tr w:rsidR="006B030C" w:rsidTr="00345119">
        <w:tc>
          <w:tcPr>
            <w:tcW w:w="9576" w:type="dxa"/>
          </w:tcPr>
          <w:p w:rsidR="0017725B" w:rsidRDefault="008103DB" w:rsidP="00B314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103DB" w:rsidP="00B314DF">
            <w:pPr>
              <w:rPr>
                <w:b/>
                <w:u w:val="single"/>
              </w:rPr>
            </w:pPr>
          </w:p>
          <w:p w:rsidR="0051347B" w:rsidRPr="0051347B" w:rsidRDefault="008103DB" w:rsidP="00B314DF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103DB" w:rsidP="00B314DF">
            <w:pPr>
              <w:rPr>
                <w:b/>
                <w:u w:val="single"/>
              </w:rPr>
            </w:pPr>
          </w:p>
        </w:tc>
      </w:tr>
      <w:tr w:rsidR="006B030C" w:rsidTr="00345119">
        <w:tc>
          <w:tcPr>
            <w:tcW w:w="9576" w:type="dxa"/>
          </w:tcPr>
          <w:p w:rsidR="008423E4" w:rsidRPr="00A8133F" w:rsidRDefault="008103DB" w:rsidP="00B314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103DB" w:rsidP="00B314DF"/>
          <w:p w:rsidR="0051347B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103DB" w:rsidP="00B314DF">
            <w:pPr>
              <w:rPr>
                <w:b/>
              </w:rPr>
            </w:pPr>
          </w:p>
        </w:tc>
      </w:tr>
      <w:tr w:rsidR="006B030C" w:rsidTr="00345119">
        <w:tc>
          <w:tcPr>
            <w:tcW w:w="9576" w:type="dxa"/>
          </w:tcPr>
          <w:p w:rsidR="008423E4" w:rsidRDefault="008103DB" w:rsidP="00B314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20D01" w:rsidRPr="002A3D87" w:rsidRDefault="008103DB" w:rsidP="00B314DF">
            <w:pPr>
              <w:rPr>
                <w:b/>
              </w:rPr>
            </w:pPr>
          </w:p>
          <w:p w:rsidR="00167A1F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3143 amends the Tax Code </w:t>
            </w:r>
            <w:r>
              <w:t xml:space="preserve">to </w:t>
            </w:r>
            <w:r>
              <w:t>require</w:t>
            </w:r>
            <w:r>
              <w:t xml:space="preserve"> the </w:t>
            </w:r>
            <w:r w:rsidRPr="00D15167">
              <w:t>governing body of a taxing unit</w:t>
            </w:r>
            <w:r>
              <w:t>, b</w:t>
            </w:r>
            <w:r w:rsidRPr="00D15167">
              <w:t xml:space="preserve">efore </w:t>
            </w:r>
            <w:r>
              <w:t xml:space="preserve">adopting, amending, repealing, or reauthorizing </w:t>
            </w:r>
            <w:r w:rsidRPr="00D15167">
              <w:t>guidelines and criteria</w:t>
            </w:r>
            <w:r>
              <w:t xml:space="preserve"> </w:t>
            </w:r>
            <w:r w:rsidRPr="00320B8C">
              <w:t>governing tax abatement agreements by the taxing unit</w:t>
            </w:r>
            <w:r>
              <w:t xml:space="preserve"> under </w:t>
            </w:r>
            <w:r>
              <w:t>the Property Redevelopment and Tax Abatement Act</w:t>
            </w:r>
            <w:r w:rsidRPr="00D15167">
              <w:t xml:space="preserve">, </w:t>
            </w:r>
            <w:r>
              <w:t>to</w:t>
            </w:r>
            <w:r w:rsidRPr="00D15167">
              <w:t xml:space="preserve"> hold a public hearing regarding the proposed </w:t>
            </w:r>
            <w:r>
              <w:t>action</w:t>
            </w:r>
            <w:r w:rsidRPr="00D15167">
              <w:t xml:space="preserve"> at which members of</w:t>
            </w:r>
            <w:r w:rsidRPr="00D15167">
              <w:t xml:space="preserve"> the public are given the opportunity to be heard</w:t>
            </w:r>
            <w:r>
              <w:t xml:space="preserve">. The bill </w:t>
            </w:r>
            <w:r>
              <w:t>require</w:t>
            </w:r>
            <w:r>
              <w:t>s</w:t>
            </w:r>
            <w:r>
              <w:t xml:space="preserve"> a taxing unit that maintains a </w:t>
            </w:r>
            <w:r w:rsidRPr="00D15167">
              <w:t xml:space="preserve">website </w:t>
            </w:r>
            <w:r>
              <w:t>to</w:t>
            </w:r>
            <w:r w:rsidRPr="00D15167">
              <w:t xml:space="preserve"> post the current version of the guidelines and criteria</w:t>
            </w:r>
            <w:r>
              <w:t xml:space="preserve"> on the website</w:t>
            </w:r>
            <w:r>
              <w:t xml:space="preserve">. </w:t>
            </w:r>
          </w:p>
          <w:p w:rsidR="00167A1F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B5256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3143</w:t>
            </w:r>
            <w:r>
              <w:t xml:space="preserve"> </w:t>
            </w:r>
            <w:r>
              <w:t xml:space="preserve">requires </w:t>
            </w:r>
            <w:r>
              <w:t xml:space="preserve">a </w:t>
            </w:r>
            <w:r>
              <w:t>chief appraiser</w:t>
            </w:r>
            <w:r>
              <w:t>,</w:t>
            </w:r>
            <w:r>
              <w:t xml:space="preserve"> </w:t>
            </w:r>
            <w:r>
              <w:t>f</w:t>
            </w:r>
            <w:r w:rsidRPr="00D15167">
              <w:t>or each of the first three t</w:t>
            </w:r>
            <w:r w:rsidRPr="00D15167">
              <w:t xml:space="preserve">ax years following the expiration </w:t>
            </w:r>
            <w:r>
              <w:t xml:space="preserve">of </w:t>
            </w:r>
            <w:r>
              <w:t>a tax abatement</w:t>
            </w:r>
            <w:r w:rsidRPr="00D15167">
              <w:t xml:space="preserve"> agreement</w:t>
            </w:r>
            <w:r>
              <w:t xml:space="preserve"> executed under the act, </w:t>
            </w:r>
            <w:r>
              <w:t xml:space="preserve">to </w:t>
            </w:r>
            <w:r w:rsidRPr="00D15167">
              <w:t xml:space="preserve">deliver a report </w:t>
            </w:r>
            <w:r>
              <w:t xml:space="preserve">to the comptroller of public accounts </w:t>
            </w:r>
            <w:r w:rsidRPr="00D15167">
              <w:t xml:space="preserve">containing the appraised value of </w:t>
            </w:r>
            <w:r>
              <w:t>a</w:t>
            </w:r>
            <w:r w:rsidRPr="00D15167">
              <w:t xml:space="preserve"> </w:t>
            </w:r>
            <w:r w:rsidRPr="00D15167">
              <w:t>property that w</w:t>
            </w:r>
            <w:r>
              <w:t xml:space="preserve">as the subject </w:t>
            </w:r>
            <w:r>
              <w:t xml:space="preserve">of the </w:t>
            </w:r>
            <w:r>
              <w:t xml:space="preserve">agreement. </w:t>
            </w:r>
          </w:p>
          <w:p w:rsidR="009A3EAB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3EAB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3143</w:t>
            </w:r>
            <w:r>
              <w:t xml:space="preserve"> requires a </w:t>
            </w:r>
            <w:r>
              <w:t xml:space="preserve">municipal tax abatement </w:t>
            </w:r>
            <w:r>
              <w:t>agreement or an agreement by a municipality relating to property subject to a voluntary cleanup agreement</w:t>
            </w:r>
            <w:r>
              <w:t xml:space="preserve"> that</w:t>
            </w:r>
            <w:r w:rsidRPr="00297776">
              <w:t xml:space="preserve"> provides for the creation of at least 25 new jobs within the boundaries of the municipality </w:t>
            </w:r>
            <w:r>
              <w:t xml:space="preserve">to </w:t>
            </w:r>
            <w:r w:rsidRPr="00297776">
              <w:t>contain a fiscal impact st</w:t>
            </w:r>
            <w:r w:rsidRPr="00297776">
              <w:t>atement describing the potential costs and benefits of the agreement to the municipality.</w:t>
            </w:r>
          </w:p>
          <w:p w:rsidR="009B5256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73BB" w:rsidRDefault="008103DB" w:rsidP="00B314DF">
            <w:pPr>
              <w:pStyle w:val="Header"/>
              <w:jc w:val="both"/>
            </w:pPr>
            <w:r>
              <w:t>C.S.</w:t>
            </w:r>
            <w:r>
              <w:t>H.B. 3143</w:t>
            </w:r>
            <w:r>
              <w:t xml:space="preserve"> </w:t>
            </w:r>
            <w:r>
              <w:t>requires the public notice of a meeting at which the governing body of a municipality will consider the approval of a tax abatement agreement with a pr</w:t>
            </w:r>
            <w:r>
              <w:t xml:space="preserve">operty owner to be given in accordance with </w:t>
            </w:r>
            <w:r>
              <w:t>state</w:t>
            </w:r>
            <w:r>
              <w:t xml:space="preserve"> open meetings</w:t>
            </w:r>
            <w:r>
              <w:t xml:space="preserve"> law</w:t>
            </w:r>
            <w:r>
              <w:t xml:space="preserve"> and requires</w:t>
            </w:r>
            <w:r w:rsidRPr="0060236A">
              <w:t xml:space="preserve"> that the notice be provided at least 30 days before the scheduled time of the meeting.</w:t>
            </w:r>
            <w:r>
              <w:t xml:space="preserve"> The bill requires the notice to </w:t>
            </w:r>
            <w:r>
              <w:t>contain</w:t>
            </w:r>
            <w:r>
              <w:t xml:space="preserve"> the following information</w:t>
            </w:r>
            <w:r>
              <w:t>:</w:t>
            </w:r>
          </w:p>
          <w:p w:rsidR="004D73BB" w:rsidRDefault="008103DB" w:rsidP="00B314D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 of the prope</w:t>
            </w:r>
            <w:r>
              <w:t>rty owner;</w:t>
            </w:r>
          </w:p>
          <w:p w:rsidR="004D73BB" w:rsidRDefault="008103DB" w:rsidP="00B314D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 and location of the reinvestment zone in which the property subject to the agreement is located;</w:t>
            </w:r>
          </w:p>
          <w:p w:rsidR="004D73BB" w:rsidRDefault="008103DB" w:rsidP="00B314D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general description of the nature of the improvements or repairs included in the agreement; and</w:t>
            </w:r>
          </w:p>
          <w:p w:rsidR="004D73BB" w:rsidRDefault="008103DB" w:rsidP="00B314D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estimated cost of the improvements or</w:t>
            </w:r>
            <w:r>
              <w:t xml:space="preserve"> repairs.</w:t>
            </w:r>
          </w:p>
          <w:p w:rsidR="003A4E46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>
              <w:t xml:space="preserve">3143 </w:t>
            </w:r>
            <w:r>
              <w:t xml:space="preserve">requires a </w:t>
            </w:r>
            <w:r>
              <w:t xml:space="preserve">tax abatement </w:t>
            </w:r>
            <w:r>
              <w:t xml:space="preserve">agreement in a county reinvestment zone to </w:t>
            </w:r>
            <w:r w:rsidRPr="00AD5088">
              <w:t xml:space="preserve">be approved by the commissioners court in the manner that the governing body of a municipality authorizes </w:t>
            </w:r>
            <w:r>
              <w:t>a tax abatement in a municipal reinvestment zone in order</w:t>
            </w:r>
            <w:r>
              <w:t xml:space="preserve"> to be effective.</w:t>
            </w:r>
          </w:p>
          <w:p w:rsidR="00E13914" w:rsidRPr="002942B5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B030C" w:rsidTr="00345119">
        <w:tc>
          <w:tcPr>
            <w:tcW w:w="9576" w:type="dxa"/>
          </w:tcPr>
          <w:p w:rsidR="008423E4" w:rsidRPr="00A8133F" w:rsidRDefault="008103DB" w:rsidP="00B314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103DB" w:rsidP="00B314DF"/>
          <w:p w:rsidR="008423E4" w:rsidRPr="003624F2" w:rsidRDefault="008103DB" w:rsidP="00B314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103DB" w:rsidP="00B314DF">
            <w:pPr>
              <w:rPr>
                <w:b/>
              </w:rPr>
            </w:pPr>
          </w:p>
        </w:tc>
      </w:tr>
      <w:tr w:rsidR="006B030C" w:rsidTr="00345119">
        <w:tc>
          <w:tcPr>
            <w:tcW w:w="9576" w:type="dxa"/>
          </w:tcPr>
          <w:p w:rsidR="002A3D87" w:rsidRDefault="008103DB" w:rsidP="00B314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20D01" w:rsidRPr="002A3D87" w:rsidRDefault="008103DB" w:rsidP="00B314DF">
            <w:pPr>
              <w:jc w:val="both"/>
              <w:rPr>
                <w:b/>
                <w:u w:val="single"/>
              </w:rPr>
            </w:pPr>
          </w:p>
          <w:p w:rsidR="002A3D87" w:rsidRDefault="008103DB" w:rsidP="00B314DF">
            <w:pPr>
              <w:jc w:val="both"/>
            </w:pPr>
            <w:r>
              <w:t xml:space="preserve">While C.S.H.B. 3143 may differ from the original in minor or nonsubstantive ways, the following summarizes the substantial differences between the introduced </w:t>
            </w:r>
            <w:r>
              <w:t>and committee substitute versions of the bill.</w:t>
            </w:r>
          </w:p>
          <w:p w:rsidR="002A3D87" w:rsidRDefault="008103DB" w:rsidP="00B314DF">
            <w:pPr>
              <w:jc w:val="both"/>
            </w:pPr>
          </w:p>
          <w:p w:rsidR="002A3D87" w:rsidRDefault="008103DB" w:rsidP="00B314DF">
            <w:pPr>
              <w:jc w:val="both"/>
            </w:pPr>
            <w:r>
              <w:t xml:space="preserve">The substitute does not include a provision </w:t>
            </w:r>
            <w:r>
              <w:t>continuing</w:t>
            </w:r>
            <w:r w:rsidRPr="002A3D87">
              <w:t xml:space="preserve"> the Property Redevelopment and Tax Abatement Act </w:t>
            </w:r>
            <w:r>
              <w:t xml:space="preserve">and does not include provisions revising </w:t>
            </w:r>
            <w:r>
              <w:t>the requisite criteria for designation as</w:t>
            </w:r>
            <w:r>
              <w:t xml:space="preserve"> </w:t>
            </w:r>
            <w:r w:rsidRPr="003A4E46">
              <w:t>a municipal reinvestm</w:t>
            </w:r>
            <w:r w:rsidRPr="003A4E46">
              <w:t>ent zone</w:t>
            </w:r>
            <w:r>
              <w:t>.</w:t>
            </w:r>
          </w:p>
          <w:p w:rsidR="00297776" w:rsidRDefault="008103DB" w:rsidP="00B314DF">
            <w:pPr>
              <w:jc w:val="both"/>
            </w:pPr>
          </w:p>
          <w:p w:rsidR="00297776" w:rsidRDefault="008103DB" w:rsidP="00B314DF">
            <w:pPr>
              <w:jc w:val="both"/>
            </w:pPr>
            <w:r>
              <w:t xml:space="preserve">The substitute includes a requirement </w:t>
            </w:r>
            <w:r>
              <w:t xml:space="preserve">for a </w:t>
            </w:r>
            <w:r w:rsidRPr="00D34805">
              <w:t>municipal tax abatement agreement</w:t>
            </w:r>
            <w:r>
              <w:t xml:space="preserve"> or an </w:t>
            </w:r>
            <w:r w:rsidRPr="00D34805">
              <w:t xml:space="preserve">agreement by </w:t>
            </w:r>
            <w:r>
              <w:t xml:space="preserve">a </w:t>
            </w:r>
            <w:r w:rsidRPr="00D34805">
              <w:t xml:space="preserve">municipality relating to property subject to </w:t>
            </w:r>
            <w:r>
              <w:t xml:space="preserve">a </w:t>
            </w:r>
            <w:r w:rsidRPr="00D34805">
              <w:t>voluntary cleanup agreement</w:t>
            </w:r>
            <w:r>
              <w:t xml:space="preserve"> to </w:t>
            </w:r>
            <w:r w:rsidRPr="00D34805">
              <w:t>contain a fiscal impact statement describing the potential costs and</w:t>
            </w:r>
            <w:r w:rsidRPr="00D34805">
              <w:t xml:space="preserve"> benefits of the agreement to the municipality.</w:t>
            </w:r>
            <w:r>
              <w:t xml:space="preserve"> </w:t>
            </w:r>
          </w:p>
          <w:p w:rsidR="003A4E46" w:rsidRDefault="008103DB" w:rsidP="00B314DF">
            <w:pPr>
              <w:jc w:val="both"/>
            </w:pPr>
          </w:p>
          <w:p w:rsidR="003A4E46" w:rsidRDefault="008103DB" w:rsidP="00B314DF">
            <w:pPr>
              <w:jc w:val="both"/>
            </w:pPr>
            <w:r>
              <w:t xml:space="preserve">The substitute </w:t>
            </w:r>
            <w:r>
              <w:t>includes a requirement that certain municipal agreements made under the act contain a specified fiscal impact statement.</w:t>
            </w:r>
          </w:p>
          <w:p w:rsidR="00D34805" w:rsidRDefault="008103DB" w:rsidP="00B314DF">
            <w:pPr>
              <w:jc w:val="both"/>
            </w:pPr>
          </w:p>
          <w:p w:rsidR="004D73BB" w:rsidRDefault="008103DB" w:rsidP="00B314DF">
            <w:pPr>
              <w:jc w:val="both"/>
            </w:pPr>
            <w:r>
              <w:t xml:space="preserve">The substitute includes a </w:t>
            </w:r>
            <w:r>
              <w:t xml:space="preserve">provision setting out certain </w:t>
            </w:r>
            <w:r>
              <w:t>requirement</w:t>
            </w:r>
            <w:r>
              <w:t>s</w:t>
            </w:r>
            <w:r>
              <w:t xml:space="preserve"> for the </w:t>
            </w:r>
            <w:r>
              <w:t xml:space="preserve">contents of the </w:t>
            </w:r>
            <w:r>
              <w:t>public notice of a meeting to consider the approval of a tax abatement agreement with a property owner</w:t>
            </w:r>
            <w:r>
              <w:t xml:space="preserve"> and the manner </w:t>
            </w:r>
            <w:r>
              <w:t>by</w:t>
            </w:r>
            <w:r>
              <w:t xml:space="preserve"> which such notice is given.</w:t>
            </w:r>
          </w:p>
          <w:p w:rsidR="002A3D87" w:rsidRDefault="008103DB" w:rsidP="00B314DF">
            <w:pPr>
              <w:jc w:val="both"/>
            </w:pPr>
          </w:p>
          <w:p w:rsidR="002A3D87" w:rsidRPr="002A3D87" w:rsidRDefault="008103DB" w:rsidP="00B314DF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</w:t>
            </w:r>
            <w:r>
              <w:t xml:space="preserve">providing for the manner </w:t>
            </w:r>
            <w:r>
              <w:t>by</w:t>
            </w:r>
            <w:r>
              <w:t xml:space="preserve"> which a county co</w:t>
            </w:r>
            <w:r>
              <w:t>mmissioners court must approve</w:t>
            </w:r>
            <w:r>
              <w:t xml:space="preserve"> </w:t>
            </w:r>
            <w:r>
              <w:t>a tax abatement</w:t>
            </w:r>
            <w:r w:rsidRPr="00AD5088">
              <w:t xml:space="preserve"> </w:t>
            </w:r>
            <w:r w:rsidRPr="00AD5088">
              <w:t>agreement in a county reinvestment zone</w:t>
            </w:r>
            <w:r>
              <w:t>.</w:t>
            </w:r>
          </w:p>
        </w:tc>
      </w:tr>
      <w:tr w:rsidR="006B030C" w:rsidTr="00345119">
        <w:tc>
          <w:tcPr>
            <w:tcW w:w="9576" w:type="dxa"/>
          </w:tcPr>
          <w:p w:rsidR="00154855" w:rsidRPr="009C1E9A" w:rsidRDefault="008103DB" w:rsidP="00B314DF">
            <w:pPr>
              <w:rPr>
                <w:b/>
                <w:u w:val="single"/>
              </w:rPr>
            </w:pPr>
          </w:p>
        </w:tc>
      </w:tr>
      <w:tr w:rsidR="006B030C" w:rsidTr="00345119">
        <w:tc>
          <w:tcPr>
            <w:tcW w:w="9576" w:type="dxa"/>
          </w:tcPr>
          <w:p w:rsidR="00154855" w:rsidRPr="00154855" w:rsidRDefault="008103DB" w:rsidP="00B314DF">
            <w:pPr>
              <w:jc w:val="both"/>
            </w:pPr>
          </w:p>
        </w:tc>
      </w:tr>
    </w:tbl>
    <w:p w:rsidR="008423E4" w:rsidRPr="00BE0E75" w:rsidRDefault="008103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103D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03DB">
      <w:r>
        <w:separator/>
      </w:r>
    </w:p>
  </w:endnote>
  <w:endnote w:type="continuationSeparator" w:id="0">
    <w:p w:rsidR="00000000" w:rsidRDefault="0081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0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030C" w:rsidTr="009C1E9A">
      <w:trPr>
        <w:cantSplit/>
      </w:trPr>
      <w:tc>
        <w:tcPr>
          <w:tcW w:w="0" w:type="pct"/>
        </w:tcPr>
        <w:p w:rsidR="00137D90" w:rsidRDefault="008103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103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103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103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103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030C" w:rsidTr="009C1E9A">
      <w:trPr>
        <w:cantSplit/>
      </w:trPr>
      <w:tc>
        <w:tcPr>
          <w:tcW w:w="0" w:type="pct"/>
        </w:tcPr>
        <w:p w:rsidR="00EC379B" w:rsidRDefault="008103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103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25975</w:t>
          </w:r>
        </w:p>
      </w:tc>
      <w:tc>
        <w:tcPr>
          <w:tcW w:w="2453" w:type="pct"/>
        </w:tcPr>
        <w:p w:rsidR="00EC379B" w:rsidRDefault="008103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19.100.781</w:t>
          </w:r>
          <w:r>
            <w:fldChar w:fldCharType="end"/>
          </w:r>
        </w:p>
      </w:tc>
    </w:tr>
    <w:tr w:rsidR="006B030C" w:rsidTr="009C1E9A">
      <w:trPr>
        <w:cantSplit/>
      </w:trPr>
      <w:tc>
        <w:tcPr>
          <w:tcW w:w="0" w:type="pct"/>
        </w:tcPr>
        <w:p w:rsidR="00EC379B" w:rsidRDefault="008103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103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22357</w:t>
          </w:r>
        </w:p>
      </w:tc>
      <w:tc>
        <w:tcPr>
          <w:tcW w:w="2453" w:type="pct"/>
        </w:tcPr>
        <w:p w:rsidR="00EC379B" w:rsidRDefault="008103DB" w:rsidP="006D504F">
          <w:pPr>
            <w:pStyle w:val="Footer"/>
            <w:rPr>
              <w:rStyle w:val="PageNumber"/>
            </w:rPr>
          </w:pPr>
        </w:p>
        <w:p w:rsidR="00EC379B" w:rsidRDefault="008103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03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103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103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103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03DB">
      <w:r>
        <w:separator/>
      </w:r>
    </w:p>
  </w:footnote>
  <w:footnote w:type="continuationSeparator" w:id="0">
    <w:p w:rsidR="00000000" w:rsidRDefault="0081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0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0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B65A7"/>
    <w:multiLevelType w:val="hybridMultilevel"/>
    <w:tmpl w:val="0DA0042E"/>
    <w:lvl w:ilvl="0" w:tplc="B874E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D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23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AB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C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26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AB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89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23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7475"/>
    <w:multiLevelType w:val="hybridMultilevel"/>
    <w:tmpl w:val="544C5E3E"/>
    <w:lvl w:ilvl="0" w:tplc="39B0A3AC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A8763538" w:tentative="1">
      <w:start w:val="1"/>
      <w:numFmt w:val="lowerLetter"/>
      <w:lvlText w:val="%2."/>
      <w:lvlJc w:val="left"/>
      <w:pPr>
        <w:ind w:left="1440" w:hanging="360"/>
      </w:pPr>
    </w:lvl>
    <w:lvl w:ilvl="2" w:tplc="094AC7D2" w:tentative="1">
      <w:start w:val="1"/>
      <w:numFmt w:val="lowerRoman"/>
      <w:lvlText w:val="%3."/>
      <w:lvlJc w:val="right"/>
      <w:pPr>
        <w:ind w:left="2160" w:hanging="180"/>
      </w:pPr>
    </w:lvl>
    <w:lvl w:ilvl="3" w:tplc="6D526926" w:tentative="1">
      <w:start w:val="1"/>
      <w:numFmt w:val="decimal"/>
      <w:lvlText w:val="%4."/>
      <w:lvlJc w:val="left"/>
      <w:pPr>
        <w:ind w:left="2880" w:hanging="360"/>
      </w:pPr>
    </w:lvl>
    <w:lvl w:ilvl="4" w:tplc="476EB83C" w:tentative="1">
      <w:start w:val="1"/>
      <w:numFmt w:val="lowerLetter"/>
      <w:lvlText w:val="%5."/>
      <w:lvlJc w:val="left"/>
      <w:pPr>
        <w:ind w:left="3600" w:hanging="360"/>
      </w:pPr>
    </w:lvl>
    <w:lvl w:ilvl="5" w:tplc="86B406AC" w:tentative="1">
      <w:start w:val="1"/>
      <w:numFmt w:val="lowerRoman"/>
      <w:lvlText w:val="%6."/>
      <w:lvlJc w:val="right"/>
      <w:pPr>
        <w:ind w:left="4320" w:hanging="180"/>
      </w:pPr>
    </w:lvl>
    <w:lvl w:ilvl="6" w:tplc="3F0043DA" w:tentative="1">
      <w:start w:val="1"/>
      <w:numFmt w:val="decimal"/>
      <w:lvlText w:val="%7."/>
      <w:lvlJc w:val="left"/>
      <w:pPr>
        <w:ind w:left="5040" w:hanging="360"/>
      </w:pPr>
    </w:lvl>
    <w:lvl w:ilvl="7" w:tplc="7B72609E" w:tentative="1">
      <w:start w:val="1"/>
      <w:numFmt w:val="lowerLetter"/>
      <w:lvlText w:val="%8."/>
      <w:lvlJc w:val="left"/>
      <w:pPr>
        <w:ind w:left="5760" w:hanging="360"/>
      </w:pPr>
    </w:lvl>
    <w:lvl w:ilvl="8" w:tplc="E12034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0C"/>
    <w:rsid w:val="006B030C"/>
    <w:rsid w:val="008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BC1E1A-9AD9-4302-BC4F-C4809CB4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5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5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167"/>
    <w:rPr>
      <w:b/>
      <w:bCs/>
    </w:rPr>
  </w:style>
  <w:style w:type="paragraph" w:styleId="Revision">
    <w:name w:val="Revision"/>
    <w:hidden/>
    <w:uiPriority w:val="99"/>
    <w:semiHidden/>
    <w:rsid w:val="00320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3700</Characters>
  <Application>Microsoft Office Word</Application>
  <DocSecurity>4</DocSecurity>
  <Lines>95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HB03143 (Committee Report (Substituted))</vt:lpstr>
    </vt:vector>
  </TitlesOfParts>
  <Company>State of Texas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25975</dc:subject>
  <dc:creator>State of Texas</dc:creator>
  <dc:description>HB 3143 by Murphy-(H)Ways &amp; Means (Substitute Document Number: 86R 22357)</dc:description>
  <cp:lastModifiedBy>Stacey Nicchio</cp:lastModifiedBy>
  <cp:revision>2</cp:revision>
  <cp:lastPrinted>2003-11-26T17:21:00Z</cp:lastPrinted>
  <dcterms:created xsi:type="dcterms:W3CDTF">2019-04-11T23:54:00Z</dcterms:created>
  <dcterms:modified xsi:type="dcterms:W3CDTF">2019-04-11T23:54:00Z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19.100.781</vt:lpwstr>
  </property>
</Properties>
</file>