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7C43" w:rsidTr="00345119">
        <w:tc>
          <w:tcPr>
            <w:tcW w:w="9576" w:type="dxa"/>
            <w:noWrap/>
          </w:tcPr>
          <w:p w:rsidR="008423E4" w:rsidRPr="0022177D" w:rsidRDefault="00A75C5D" w:rsidP="00152D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5C5D" w:rsidP="008423E4">
      <w:pPr>
        <w:jc w:val="center"/>
      </w:pPr>
    </w:p>
    <w:p w:rsidR="008423E4" w:rsidRPr="00B31F0E" w:rsidRDefault="00A75C5D" w:rsidP="008423E4"/>
    <w:p w:rsidR="008423E4" w:rsidRPr="00742794" w:rsidRDefault="00A75C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7C43" w:rsidTr="00345119">
        <w:tc>
          <w:tcPr>
            <w:tcW w:w="9576" w:type="dxa"/>
          </w:tcPr>
          <w:p w:rsidR="008423E4" w:rsidRPr="00861995" w:rsidRDefault="00A75C5D" w:rsidP="00345119">
            <w:pPr>
              <w:jc w:val="right"/>
            </w:pPr>
            <w:r>
              <w:t>C.S.H.B. 3177</w:t>
            </w:r>
          </w:p>
        </w:tc>
      </w:tr>
      <w:tr w:rsidR="000E7C43" w:rsidTr="00345119">
        <w:tc>
          <w:tcPr>
            <w:tcW w:w="9576" w:type="dxa"/>
          </w:tcPr>
          <w:p w:rsidR="008423E4" w:rsidRPr="00861995" w:rsidRDefault="00A75C5D" w:rsidP="00233754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0E7C43" w:rsidTr="00345119">
        <w:tc>
          <w:tcPr>
            <w:tcW w:w="9576" w:type="dxa"/>
          </w:tcPr>
          <w:p w:rsidR="008423E4" w:rsidRPr="00861995" w:rsidRDefault="00A75C5D" w:rsidP="00345119">
            <w:pPr>
              <w:jc w:val="right"/>
            </w:pPr>
            <w:r>
              <w:t>Criminal Jurisprudence</w:t>
            </w:r>
          </w:p>
        </w:tc>
      </w:tr>
      <w:tr w:rsidR="000E7C43" w:rsidTr="00345119">
        <w:tc>
          <w:tcPr>
            <w:tcW w:w="9576" w:type="dxa"/>
          </w:tcPr>
          <w:p w:rsidR="008423E4" w:rsidRDefault="00A75C5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5C5D" w:rsidP="008423E4">
      <w:pPr>
        <w:tabs>
          <w:tab w:val="right" w:pos="9360"/>
        </w:tabs>
      </w:pPr>
    </w:p>
    <w:p w:rsidR="008423E4" w:rsidRDefault="00A75C5D" w:rsidP="008423E4"/>
    <w:p w:rsidR="008423E4" w:rsidRDefault="00A75C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7C43" w:rsidTr="00345119">
        <w:tc>
          <w:tcPr>
            <w:tcW w:w="9576" w:type="dxa"/>
          </w:tcPr>
          <w:p w:rsidR="008423E4" w:rsidRPr="00A8133F" w:rsidRDefault="00A75C5D" w:rsidP="00C530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5C5D" w:rsidP="00C5309A"/>
          <w:p w:rsidR="008423E4" w:rsidRDefault="00A75C5D" w:rsidP="00C5309A">
            <w:pPr>
              <w:pStyle w:val="Header"/>
              <w:jc w:val="both"/>
            </w:pPr>
            <w:r>
              <w:t xml:space="preserve">Concerns have been raised regarding the high incidence of reports detailing the </w:t>
            </w:r>
            <w:r>
              <w:t>sexual abuse of disabled individuals.</w:t>
            </w:r>
            <w:r>
              <w:t xml:space="preserve"> It has been suggested that the current protections in place for children with regard to such conduct are</w:t>
            </w:r>
            <w:r>
              <w:t xml:space="preserve"> also</w:t>
            </w:r>
            <w:r>
              <w:t xml:space="preserve"> appropriate for these vulnerable</w:t>
            </w:r>
            <w:r>
              <w:t xml:space="preserve"> individuals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3177</w:t>
            </w:r>
            <w:r>
              <w:t xml:space="preserve"> seeks to address this issue by </w:t>
            </w:r>
            <w:r>
              <w:t>creating the offense of continuous sexual abuse of you</w:t>
            </w:r>
            <w:r>
              <w:t>ng child or disabled individual</w:t>
            </w:r>
            <w:r>
              <w:t>.</w:t>
            </w:r>
          </w:p>
          <w:p w:rsidR="008423E4" w:rsidRPr="00E26B13" w:rsidRDefault="00A75C5D" w:rsidP="00C5309A">
            <w:pPr>
              <w:rPr>
                <w:b/>
              </w:rPr>
            </w:pPr>
          </w:p>
        </w:tc>
      </w:tr>
      <w:tr w:rsidR="000E7C43" w:rsidTr="00345119">
        <w:tc>
          <w:tcPr>
            <w:tcW w:w="9576" w:type="dxa"/>
          </w:tcPr>
          <w:p w:rsidR="0017725B" w:rsidRDefault="00A75C5D" w:rsidP="00C530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5C5D" w:rsidP="00C5309A">
            <w:pPr>
              <w:rPr>
                <w:b/>
                <w:u w:val="single"/>
              </w:rPr>
            </w:pPr>
          </w:p>
          <w:p w:rsidR="00BF38EB" w:rsidRPr="00BF38EB" w:rsidRDefault="00A75C5D" w:rsidP="00C5309A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</w:t>
            </w:r>
            <w:r>
              <w:t>ses, or changes the eligibility of a person for community supervision, parole, or mandatory supervision.</w:t>
            </w:r>
          </w:p>
          <w:p w:rsidR="0017725B" w:rsidRPr="0017725B" w:rsidRDefault="00A75C5D" w:rsidP="00C5309A">
            <w:pPr>
              <w:rPr>
                <w:b/>
                <w:u w:val="single"/>
              </w:rPr>
            </w:pPr>
          </w:p>
        </w:tc>
      </w:tr>
      <w:tr w:rsidR="000E7C43" w:rsidTr="00345119">
        <w:tc>
          <w:tcPr>
            <w:tcW w:w="9576" w:type="dxa"/>
          </w:tcPr>
          <w:p w:rsidR="008423E4" w:rsidRPr="00A8133F" w:rsidRDefault="00A75C5D" w:rsidP="00C530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5C5D" w:rsidP="00C5309A"/>
          <w:p w:rsidR="00BF38EB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152D7C" w:rsidRDefault="00A75C5D" w:rsidP="00C5309A">
            <w:pPr>
              <w:rPr>
                <w:b/>
                <w:sz w:val="22"/>
                <w:szCs w:val="22"/>
              </w:rPr>
            </w:pPr>
          </w:p>
        </w:tc>
      </w:tr>
      <w:tr w:rsidR="000E7C43" w:rsidTr="00345119">
        <w:tc>
          <w:tcPr>
            <w:tcW w:w="9576" w:type="dxa"/>
          </w:tcPr>
          <w:p w:rsidR="008423E4" w:rsidRPr="00A8133F" w:rsidRDefault="00A75C5D" w:rsidP="00C530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52D7C" w:rsidRDefault="00A75C5D" w:rsidP="00C5309A">
            <w:pPr>
              <w:rPr>
                <w:sz w:val="22"/>
                <w:szCs w:val="22"/>
              </w:rPr>
            </w:pPr>
          </w:p>
          <w:p w:rsidR="00060708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3177 amends the Penal Code to </w:t>
            </w:r>
            <w:r>
              <w:t xml:space="preserve">create the offense of continuous sexual abuse of young child or disabled individual by </w:t>
            </w:r>
            <w:r>
              <w:t>expand</w:t>
            </w:r>
            <w:r>
              <w:t>ing</w:t>
            </w:r>
            <w:r>
              <w:t xml:space="preserve"> the</w:t>
            </w:r>
            <w:r>
              <w:t xml:space="preserve"> applicability of</w:t>
            </w:r>
            <w:r>
              <w:t xml:space="preserve"> conduct constitut</w:t>
            </w:r>
            <w:r>
              <w:t>ing</w:t>
            </w:r>
            <w:r>
              <w:t xml:space="preserve"> the offense of continuous </w:t>
            </w:r>
            <w:r>
              <w:t>sexual abuse of a young child</w:t>
            </w:r>
            <w:r>
              <w:t xml:space="preserve"> or children</w:t>
            </w:r>
            <w:r>
              <w:t xml:space="preserve"> to include </w:t>
            </w:r>
            <w:r>
              <w:t>such conduct involving</w:t>
            </w:r>
            <w:r>
              <w:t xml:space="preserve"> a disabled individual</w:t>
            </w:r>
            <w:r>
              <w:t>, as defined by the bill</w:t>
            </w:r>
            <w:r>
              <w:t xml:space="preserve">. The bill </w:t>
            </w:r>
            <w:r>
              <w:t>includes as an</w:t>
            </w:r>
            <w:r>
              <w:t xml:space="preserve"> act of sexual abuse</w:t>
            </w:r>
            <w:r>
              <w:t>,</w:t>
            </w:r>
            <w:r>
              <w:t xml:space="preserve"> for purposes of the offense</w:t>
            </w:r>
            <w:r>
              <w:t>,</w:t>
            </w:r>
            <w:r>
              <w:t xml:space="preserve"> any </w:t>
            </w:r>
            <w:r>
              <w:t xml:space="preserve">knowing </w:t>
            </w:r>
            <w:r>
              <w:t>act of:</w:t>
            </w:r>
          </w:p>
          <w:p w:rsidR="00060708" w:rsidRDefault="00A75C5D" w:rsidP="00C530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compelling prostitution</w:t>
            </w:r>
            <w:r>
              <w:t>;</w:t>
            </w:r>
            <w:r>
              <w:t xml:space="preserve"> </w:t>
            </w:r>
          </w:p>
          <w:p w:rsidR="00060708" w:rsidRDefault="00A75C5D" w:rsidP="00C530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trafficking a</w:t>
            </w:r>
            <w:r>
              <w:t xml:space="preserve">nother person </w:t>
            </w:r>
            <w:r w:rsidRPr="00705FCB">
              <w:t xml:space="preserve">and, through force, fraud, or coercion, </w:t>
            </w:r>
            <w:r w:rsidRPr="00705FCB">
              <w:t>caus</w:t>
            </w:r>
            <w:r>
              <w:t>ing</w:t>
            </w:r>
            <w:r w:rsidRPr="00705FCB">
              <w:t xml:space="preserve"> </w:t>
            </w:r>
            <w:r w:rsidRPr="00705FCB">
              <w:t xml:space="preserve">the trafficked person to engage in </w:t>
            </w:r>
            <w:r>
              <w:t>prostitution, promotion of prostitution, aggra</w:t>
            </w:r>
            <w:r>
              <w:t xml:space="preserve">vated promotion of prostitution, </w:t>
            </w:r>
            <w:r>
              <w:t>or compelling prostitution</w:t>
            </w:r>
            <w:r>
              <w:t>;</w:t>
            </w:r>
            <w:r>
              <w:t xml:space="preserve"> and</w:t>
            </w:r>
          </w:p>
          <w:p w:rsidR="00B7136B" w:rsidRDefault="00A75C5D" w:rsidP="00C530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778"/>
              <w:jc w:val="both"/>
            </w:pPr>
            <w:r>
              <w:t xml:space="preserve">receiving a benefit from </w:t>
            </w:r>
            <w:r w:rsidRPr="00705FCB">
              <w:t>participating in a vent</w:t>
            </w:r>
            <w:r w:rsidRPr="00705FCB">
              <w:t xml:space="preserve">ure that involves </w:t>
            </w:r>
            <w:r>
              <w:t xml:space="preserve">such </w:t>
            </w:r>
            <w:r>
              <w:t xml:space="preserve">engagement </w:t>
            </w:r>
            <w:r w:rsidRPr="00705FCB">
              <w:t>or engag</w:t>
            </w:r>
            <w:r>
              <w:t>ing</w:t>
            </w:r>
            <w:r w:rsidRPr="00705FCB">
              <w:t xml:space="preserve"> in sexual conduct with</w:t>
            </w:r>
            <w:r>
              <w:t xml:space="preserve"> a person trafficked in such </w:t>
            </w:r>
            <w:r>
              <w:t xml:space="preserve">a </w:t>
            </w:r>
            <w:r>
              <w:t>manner.</w:t>
            </w:r>
          </w:p>
          <w:p w:rsidR="00CB2D27" w:rsidRPr="00152D7C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:rsidR="008423E4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3177 amends the Civil Practice and Remedies Code, Code of Criminal Procedure, Education Code, Family Code, Government Code, Health and Safety Code, </w:t>
            </w:r>
            <w:r>
              <w:t>Occupations Code, Penal Code, and Property Code to make conforming changes.</w:t>
            </w:r>
            <w:r>
              <w:t xml:space="preserve">       </w:t>
            </w:r>
          </w:p>
          <w:p w:rsidR="00060708" w:rsidRPr="00152D7C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7C43" w:rsidTr="00345119">
        <w:tc>
          <w:tcPr>
            <w:tcW w:w="9576" w:type="dxa"/>
          </w:tcPr>
          <w:p w:rsidR="008423E4" w:rsidRPr="00A8133F" w:rsidRDefault="00A75C5D" w:rsidP="00C530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52D7C" w:rsidRDefault="00A75C5D" w:rsidP="00C5309A">
            <w:pPr>
              <w:rPr>
                <w:sz w:val="22"/>
                <w:szCs w:val="22"/>
              </w:rPr>
            </w:pPr>
          </w:p>
          <w:p w:rsidR="008423E4" w:rsidRPr="003624F2" w:rsidRDefault="00A75C5D" w:rsidP="00C53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103EF8" w:rsidRPr="00152D7C" w:rsidRDefault="00A75C5D" w:rsidP="00C5309A">
            <w:pPr>
              <w:rPr>
                <w:b/>
                <w:sz w:val="22"/>
                <w:szCs w:val="22"/>
              </w:rPr>
            </w:pPr>
          </w:p>
        </w:tc>
      </w:tr>
      <w:tr w:rsidR="000E7C43" w:rsidTr="00345119">
        <w:tc>
          <w:tcPr>
            <w:tcW w:w="9576" w:type="dxa"/>
          </w:tcPr>
          <w:p w:rsidR="00233754" w:rsidRDefault="00A75C5D" w:rsidP="00C530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C28A9" w:rsidRPr="00152D7C" w:rsidRDefault="00A75C5D" w:rsidP="00C5309A">
            <w:pPr>
              <w:jc w:val="both"/>
              <w:rPr>
                <w:sz w:val="22"/>
                <w:szCs w:val="22"/>
              </w:rPr>
            </w:pPr>
          </w:p>
          <w:p w:rsidR="00BC28A9" w:rsidRDefault="00A75C5D" w:rsidP="00C5309A">
            <w:pPr>
              <w:jc w:val="both"/>
            </w:pPr>
            <w:r>
              <w:t>While C.S.H.B. 3177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BC28A9" w:rsidRDefault="00A75C5D" w:rsidP="00C5309A">
            <w:pPr>
              <w:jc w:val="both"/>
            </w:pPr>
          </w:p>
          <w:p w:rsidR="00BC28A9" w:rsidRDefault="00A75C5D" w:rsidP="00C5309A">
            <w:pPr>
              <w:jc w:val="both"/>
            </w:pPr>
            <w:r>
              <w:t xml:space="preserve">The substitute </w:t>
            </w:r>
            <w:r>
              <w:t>includes an explicit</w:t>
            </w:r>
            <w:r>
              <w:t xml:space="preserve"> definition of "disabled individual"</w:t>
            </w:r>
            <w:r>
              <w:t xml:space="preserve"> and does not include a provision defining the term by reference </w:t>
            </w:r>
            <w:r>
              <w:t xml:space="preserve">to </w:t>
            </w:r>
            <w:r>
              <w:t>the Penal Code.</w:t>
            </w:r>
          </w:p>
          <w:p w:rsidR="00BC28A9" w:rsidRPr="00BC28A9" w:rsidRDefault="00A75C5D" w:rsidP="00C5309A">
            <w:pPr>
              <w:jc w:val="both"/>
            </w:pPr>
          </w:p>
        </w:tc>
      </w:tr>
      <w:tr w:rsidR="000E7C43" w:rsidTr="00345119">
        <w:tc>
          <w:tcPr>
            <w:tcW w:w="9576" w:type="dxa"/>
          </w:tcPr>
          <w:p w:rsidR="00233754" w:rsidRPr="009C1E9A" w:rsidRDefault="00A75C5D" w:rsidP="00C5309A">
            <w:pPr>
              <w:rPr>
                <w:b/>
                <w:u w:val="single"/>
              </w:rPr>
            </w:pPr>
          </w:p>
        </w:tc>
      </w:tr>
      <w:tr w:rsidR="000E7C43" w:rsidTr="00345119">
        <w:tc>
          <w:tcPr>
            <w:tcW w:w="9576" w:type="dxa"/>
          </w:tcPr>
          <w:p w:rsidR="00233754" w:rsidRPr="00233754" w:rsidRDefault="00A75C5D" w:rsidP="00C5309A">
            <w:pPr>
              <w:jc w:val="both"/>
            </w:pPr>
          </w:p>
        </w:tc>
      </w:tr>
    </w:tbl>
    <w:p w:rsidR="008423E4" w:rsidRPr="00BE0E75" w:rsidRDefault="00A75C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5C5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5C5D">
      <w:r>
        <w:separator/>
      </w:r>
    </w:p>
  </w:endnote>
  <w:endnote w:type="continuationSeparator" w:id="0">
    <w:p w:rsidR="00000000" w:rsidRDefault="00A7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5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7C43" w:rsidTr="009C1E9A">
      <w:trPr>
        <w:cantSplit/>
      </w:trPr>
      <w:tc>
        <w:tcPr>
          <w:tcW w:w="0" w:type="pct"/>
        </w:tcPr>
        <w:p w:rsidR="00137D90" w:rsidRDefault="00A75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5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5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5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5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C43" w:rsidTr="009C1E9A">
      <w:trPr>
        <w:cantSplit/>
      </w:trPr>
      <w:tc>
        <w:tcPr>
          <w:tcW w:w="0" w:type="pct"/>
        </w:tcPr>
        <w:p w:rsidR="00EC379B" w:rsidRDefault="00A75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5C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</w:t>
          </w:r>
          <w:r>
            <w:rPr>
              <w:rFonts w:ascii="Shruti" w:hAnsi="Shruti"/>
              <w:sz w:val="22"/>
            </w:rPr>
            <w:t xml:space="preserve"> 30164</w:t>
          </w:r>
        </w:p>
      </w:tc>
      <w:tc>
        <w:tcPr>
          <w:tcW w:w="2453" w:type="pct"/>
        </w:tcPr>
        <w:p w:rsidR="00EC379B" w:rsidRDefault="00A75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19.117.239</w:t>
          </w:r>
          <w:r>
            <w:fldChar w:fldCharType="end"/>
          </w:r>
        </w:p>
      </w:tc>
    </w:tr>
    <w:tr w:rsidR="000E7C43" w:rsidTr="009C1E9A">
      <w:trPr>
        <w:cantSplit/>
      </w:trPr>
      <w:tc>
        <w:tcPr>
          <w:tcW w:w="0" w:type="pct"/>
        </w:tcPr>
        <w:p w:rsidR="00EC379B" w:rsidRDefault="00A75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5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27729</w:t>
          </w:r>
        </w:p>
      </w:tc>
      <w:tc>
        <w:tcPr>
          <w:tcW w:w="2453" w:type="pct"/>
        </w:tcPr>
        <w:p w:rsidR="00EC379B" w:rsidRDefault="00A75C5D" w:rsidP="006D504F">
          <w:pPr>
            <w:pStyle w:val="Footer"/>
            <w:rPr>
              <w:rStyle w:val="PageNumber"/>
            </w:rPr>
          </w:pPr>
        </w:p>
        <w:p w:rsidR="00EC379B" w:rsidRDefault="00A75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C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5C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75C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5C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5C5D">
      <w:r>
        <w:separator/>
      </w:r>
    </w:p>
  </w:footnote>
  <w:footnote w:type="continuationSeparator" w:id="0">
    <w:p w:rsidR="00000000" w:rsidRDefault="00A7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5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5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5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6E5"/>
    <w:multiLevelType w:val="hybridMultilevel"/>
    <w:tmpl w:val="5F92C110"/>
    <w:lvl w:ilvl="0" w:tplc="22A229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52F29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2F077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E12B4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C6951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82E83F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A0727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9A24F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B60F6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3"/>
    <w:rsid w:val="000E7C43"/>
    <w:rsid w:val="00A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C30D8-6308-4B9E-A1FB-7F22C4E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3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3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38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38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2154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HB03177 (Committee Report (Substituted))</vt:lpstr>
    </vt:vector>
  </TitlesOfParts>
  <Company>State of Texas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30164</dc:subject>
  <dc:creator>State of Texas</dc:creator>
  <dc:description>HB 3177 by Smith-(H)Criminal Jurisprudence (Substitute Document Number: 86R 27729)</dc:description>
  <cp:lastModifiedBy>Laura Ramsay</cp:lastModifiedBy>
  <cp:revision>2</cp:revision>
  <cp:lastPrinted>2003-11-26T17:21:00Z</cp:lastPrinted>
  <dcterms:created xsi:type="dcterms:W3CDTF">2019-05-01T01:03:00Z</dcterms:created>
  <dcterms:modified xsi:type="dcterms:W3CDTF">2019-05-01T01:03:00Z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19.117.239</vt:lpwstr>
  </property>
</Properties>
</file>