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26F6A" w:rsidTr="00452E07">
        <w:tc>
          <w:tcPr>
            <w:tcW w:w="9576" w:type="dxa"/>
            <w:noWrap/>
          </w:tcPr>
          <w:p w:rsidR="008423E4" w:rsidRPr="0022177D" w:rsidRDefault="009D6FDC" w:rsidP="00452E0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D6FDC" w:rsidP="008423E4">
      <w:pPr>
        <w:jc w:val="center"/>
      </w:pPr>
    </w:p>
    <w:p w:rsidR="008423E4" w:rsidRPr="00B31F0E" w:rsidRDefault="009D6FDC" w:rsidP="008423E4"/>
    <w:p w:rsidR="008423E4" w:rsidRPr="00742794" w:rsidRDefault="009D6FD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6F6A" w:rsidTr="00452E07">
        <w:tc>
          <w:tcPr>
            <w:tcW w:w="9576" w:type="dxa"/>
          </w:tcPr>
          <w:p w:rsidR="008423E4" w:rsidRPr="00861995" w:rsidRDefault="009D6FDC" w:rsidP="00452E07">
            <w:pPr>
              <w:jc w:val="right"/>
            </w:pPr>
            <w:r>
              <w:t>C.S.H.B. 3222</w:t>
            </w:r>
          </w:p>
        </w:tc>
      </w:tr>
      <w:tr w:rsidR="00E26F6A" w:rsidTr="00452E07">
        <w:tc>
          <w:tcPr>
            <w:tcW w:w="9576" w:type="dxa"/>
          </w:tcPr>
          <w:p w:rsidR="008423E4" w:rsidRPr="00861995" w:rsidRDefault="009D6FDC" w:rsidP="00871D26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E26F6A" w:rsidTr="00452E07">
        <w:tc>
          <w:tcPr>
            <w:tcW w:w="9576" w:type="dxa"/>
          </w:tcPr>
          <w:p w:rsidR="008423E4" w:rsidRPr="00861995" w:rsidRDefault="009D6FDC" w:rsidP="00452E07">
            <w:pPr>
              <w:jc w:val="right"/>
            </w:pPr>
            <w:r>
              <w:t>Licensing &amp; Administrative Procedures</w:t>
            </w:r>
          </w:p>
        </w:tc>
      </w:tr>
      <w:tr w:rsidR="00E26F6A" w:rsidTr="00452E07">
        <w:tc>
          <w:tcPr>
            <w:tcW w:w="9576" w:type="dxa"/>
          </w:tcPr>
          <w:p w:rsidR="008423E4" w:rsidRDefault="009D6FDC" w:rsidP="003A3641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D6FDC" w:rsidP="008423E4">
      <w:pPr>
        <w:tabs>
          <w:tab w:val="right" w:pos="9360"/>
        </w:tabs>
      </w:pPr>
    </w:p>
    <w:p w:rsidR="008423E4" w:rsidRDefault="009D6FDC" w:rsidP="008423E4"/>
    <w:p w:rsidR="008423E4" w:rsidRDefault="009D6FD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26F6A" w:rsidTr="00452E07">
        <w:tc>
          <w:tcPr>
            <w:tcW w:w="9576" w:type="dxa"/>
          </w:tcPr>
          <w:p w:rsidR="008423E4" w:rsidRPr="00A8133F" w:rsidRDefault="009D6FDC" w:rsidP="00C31A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7F6718" w:rsidRDefault="009D6FDC" w:rsidP="00C31A81">
            <w:pPr>
              <w:rPr>
                <w:sz w:val="22"/>
              </w:rPr>
            </w:pPr>
          </w:p>
          <w:p w:rsidR="008423E4" w:rsidRDefault="009D6FDC" w:rsidP="00C31A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>
              <w:t>t has been noted that i</w:t>
            </w:r>
            <w:r>
              <w:t xml:space="preserve">nnovations in the production of beer and ale </w:t>
            </w:r>
            <w:r>
              <w:t xml:space="preserve">have created </w:t>
            </w:r>
            <w:r>
              <w:t xml:space="preserve">business relationships in </w:t>
            </w:r>
            <w:r>
              <w:t>which</w:t>
            </w:r>
            <w:r>
              <w:t xml:space="preserve"> </w:t>
            </w:r>
            <w:r>
              <w:t xml:space="preserve">a </w:t>
            </w:r>
            <w:r>
              <w:t xml:space="preserve">nonresident </w:t>
            </w:r>
            <w:r>
              <w:t xml:space="preserve">brewer and nonresident </w:t>
            </w:r>
            <w:r>
              <w:t>manufacturer produce</w:t>
            </w:r>
            <w:r>
              <w:t xml:space="preserve"> a</w:t>
            </w:r>
            <w:r>
              <w:t xml:space="preserve"> </w:t>
            </w:r>
            <w:r>
              <w:t xml:space="preserve">beer </w:t>
            </w:r>
            <w:r>
              <w:t>or</w:t>
            </w:r>
            <w:r>
              <w:t xml:space="preserve"> ale </w:t>
            </w:r>
            <w:r>
              <w:t xml:space="preserve">product </w:t>
            </w:r>
            <w:r>
              <w:t>after which there is no further involvement by the brewer or producer. In these cases</w:t>
            </w:r>
            <w:r>
              <w:t>,</w:t>
            </w:r>
            <w:r>
              <w:t xml:space="preserve"> the beer or ale product may </w:t>
            </w:r>
            <w:r>
              <w:t>enter</w:t>
            </w:r>
            <w:r>
              <w:t xml:space="preserve"> a marketplace </w:t>
            </w:r>
            <w:r>
              <w:t>other than the marketplace</w:t>
            </w:r>
            <w:r>
              <w:t xml:space="preserve"> in which</w:t>
            </w:r>
            <w:r>
              <w:t xml:space="preserve"> the brewer and manufacturer operate.</w:t>
            </w:r>
            <w:r>
              <w:t xml:space="preserve"> </w:t>
            </w:r>
            <w:r>
              <w:t xml:space="preserve">There are calls for Texas law to better accommodate these arrangements.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3222 </w:t>
            </w:r>
            <w:r>
              <w:t>seeks to provide for</w:t>
            </w:r>
            <w:r>
              <w:t xml:space="preserve"> </w:t>
            </w:r>
            <w:r w:rsidRPr="003A0E44">
              <w:t>a nonresident brewer</w:t>
            </w:r>
            <w:r>
              <w:t>'s</w:t>
            </w:r>
            <w:r w:rsidRPr="003A0E44">
              <w:t xml:space="preserve"> and nonresident manufacturer</w:t>
            </w:r>
            <w:r>
              <w:t xml:space="preserve">'s </w:t>
            </w:r>
            <w:r w:rsidRPr="003A0E44">
              <w:t>agent</w:t>
            </w:r>
            <w:r>
              <w:t>'s</w:t>
            </w:r>
            <w:r w:rsidRPr="003A0E44">
              <w:t xml:space="preserve"> permit</w:t>
            </w:r>
            <w:r>
              <w:t xml:space="preserve"> so that</w:t>
            </w:r>
            <w:r>
              <w:t xml:space="preserve"> such brewers</w:t>
            </w:r>
            <w:r>
              <w:t xml:space="preserve"> and manufacturers</w:t>
            </w:r>
            <w:r>
              <w:t xml:space="preserve"> </w:t>
            </w:r>
            <w:r>
              <w:t>can</w:t>
            </w:r>
            <w:r>
              <w:t xml:space="preserve"> designate an agent in Texas for handling all the regulatory matters </w:t>
            </w:r>
            <w:r>
              <w:t>relating to</w:t>
            </w:r>
            <w:r>
              <w:t xml:space="preserve"> </w:t>
            </w:r>
            <w:r>
              <w:t>their product</w:t>
            </w:r>
            <w:r>
              <w:t>s</w:t>
            </w:r>
            <w:r>
              <w:t>.</w:t>
            </w:r>
          </w:p>
          <w:p w:rsidR="008423E4" w:rsidRPr="007F6718" w:rsidRDefault="009D6FDC" w:rsidP="00C31A81">
            <w:pPr>
              <w:rPr>
                <w:b/>
                <w:sz w:val="22"/>
              </w:rPr>
            </w:pPr>
          </w:p>
        </w:tc>
      </w:tr>
      <w:tr w:rsidR="00E26F6A" w:rsidTr="00452E07">
        <w:tc>
          <w:tcPr>
            <w:tcW w:w="9576" w:type="dxa"/>
          </w:tcPr>
          <w:p w:rsidR="0017725B" w:rsidRDefault="009D6FDC" w:rsidP="00C31A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7F6718" w:rsidRDefault="009D6FDC" w:rsidP="00C31A81">
            <w:pPr>
              <w:rPr>
                <w:b/>
                <w:sz w:val="22"/>
                <w:u w:val="single"/>
              </w:rPr>
            </w:pPr>
          </w:p>
          <w:p w:rsidR="00846B7A" w:rsidRPr="00846B7A" w:rsidRDefault="009D6FDC" w:rsidP="00C31A81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7F6718" w:rsidRDefault="009D6FDC" w:rsidP="00C31A81">
            <w:pPr>
              <w:rPr>
                <w:b/>
                <w:sz w:val="22"/>
                <w:u w:val="single"/>
              </w:rPr>
            </w:pPr>
          </w:p>
        </w:tc>
      </w:tr>
      <w:tr w:rsidR="00E26F6A" w:rsidTr="00452E07">
        <w:tc>
          <w:tcPr>
            <w:tcW w:w="9576" w:type="dxa"/>
          </w:tcPr>
          <w:p w:rsidR="008423E4" w:rsidRPr="00A8133F" w:rsidRDefault="009D6FDC" w:rsidP="00C31A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7F6718" w:rsidRDefault="009D6FDC" w:rsidP="00C31A81">
            <w:pPr>
              <w:rPr>
                <w:sz w:val="22"/>
              </w:rPr>
            </w:pPr>
          </w:p>
          <w:p w:rsidR="00846B7A" w:rsidRDefault="009D6FDC" w:rsidP="00C31A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7F6718" w:rsidRDefault="009D6FDC" w:rsidP="00C31A81">
            <w:pPr>
              <w:rPr>
                <w:b/>
                <w:sz w:val="22"/>
              </w:rPr>
            </w:pPr>
          </w:p>
        </w:tc>
      </w:tr>
      <w:tr w:rsidR="00E26F6A" w:rsidTr="00452E07">
        <w:tc>
          <w:tcPr>
            <w:tcW w:w="9576" w:type="dxa"/>
          </w:tcPr>
          <w:p w:rsidR="008423E4" w:rsidRPr="00A8133F" w:rsidRDefault="009D6FDC" w:rsidP="00C31A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7F6718" w:rsidRDefault="009D6FDC" w:rsidP="00C31A81">
            <w:pPr>
              <w:rPr>
                <w:sz w:val="22"/>
              </w:rPr>
            </w:pPr>
          </w:p>
          <w:p w:rsidR="00047EE0" w:rsidRDefault="009D6FDC" w:rsidP="00C31A81">
            <w:pPr>
              <w:pStyle w:val="Header"/>
              <w:jc w:val="both"/>
            </w:pPr>
            <w:r>
              <w:t xml:space="preserve">C.S.H.B. 3222 amends the Alcoholic Beverage Code to </w:t>
            </w:r>
            <w:r>
              <w:t xml:space="preserve">create </w:t>
            </w:r>
            <w:r>
              <w:t xml:space="preserve">a </w:t>
            </w:r>
            <w:r>
              <w:t>nonresident brewer's or nonresident manufacturer's agent</w:t>
            </w:r>
            <w:r>
              <w:t>'</w:t>
            </w:r>
            <w:r>
              <w:t>s permit</w:t>
            </w:r>
            <w:r>
              <w:t xml:space="preserve"> </w:t>
            </w:r>
            <w:r>
              <w:t>and to authorize the holder of such a permit</w:t>
            </w:r>
            <w:r>
              <w:t xml:space="preserve"> </w:t>
            </w:r>
            <w:r>
              <w:t xml:space="preserve">to </w:t>
            </w:r>
            <w:r>
              <w:t>take</w:t>
            </w:r>
            <w:r>
              <w:t xml:space="preserve"> the following</w:t>
            </w:r>
            <w:r>
              <w:t xml:space="preserve"> actions</w:t>
            </w:r>
            <w:r>
              <w:t>:</w:t>
            </w:r>
          </w:p>
          <w:p w:rsidR="008423E4" w:rsidRDefault="009D6FDC" w:rsidP="00C31A8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represent one or more nonresident brewers and nonresident manufacturers;</w:t>
            </w:r>
          </w:p>
          <w:p w:rsidR="00047EE0" w:rsidRDefault="009D6FDC" w:rsidP="00C31A8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perform </w:t>
            </w:r>
            <w:r w:rsidRPr="00047EE0">
              <w:t>on behalf of the</w:t>
            </w:r>
            <w:r>
              <w:t xml:space="preserve"> nonresident</w:t>
            </w:r>
            <w:r w:rsidRPr="00047EE0">
              <w:t xml:space="preserve"> brewer or </w:t>
            </w:r>
            <w:r>
              <w:t xml:space="preserve">nonresident </w:t>
            </w:r>
            <w:r w:rsidRPr="00047EE0">
              <w:t xml:space="preserve">manufacturer </w:t>
            </w:r>
            <w:r>
              <w:t xml:space="preserve">whom the permit holder represents </w:t>
            </w:r>
            <w:r>
              <w:t xml:space="preserve">any activity the brewer or manufacturer </w:t>
            </w:r>
            <w:r>
              <w:t xml:space="preserve">whom the permit holder represents </w:t>
            </w:r>
            <w:r>
              <w:t>could perform in Texas; and</w:t>
            </w:r>
          </w:p>
          <w:p w:rsidR="00047EE0" w:rsidRDefault="009D6FDC" w:rsidP="007F6718">
            <w:pPr>
              <w:pStyle w:val="Header"/>
              <w:numPr>
                <w:ilvl w:val="0"/>
                <w:numId w:val="1"/>
              </w:numPr>
              <w:ind w:left="778"/>
              <w:jc w:val="both"/>
            </w:pPr>
            <w:r>
              <w:t xml:space="preserve">apply on behalf of the nonresident brewer or </w:t>
            </w:r>
            <w:r>
              <w:t xml:space="preserve">nonresident </w:t>
            </w:r>
            <w:r>
              <w:t xml:space="preserve">manufacturer </w:t>
            </w:r>
            <w:r>
              <w:t xml:space="preserve">whom the permit holder represents </w:t>
            </w:r>
            <w:r>
              <w:t xml:space="preserve">for a permit, license, or authorization required by the Texas Alcoholic Beverage </w:t>
            </w:r>
            <w:r>
              <w:t>Commission (TABC).</w:t>
            </w:r>
          </w:p>
          <w:p w:rsidR="00E866DE" w:rsidRDefault="009D6FDC" w:rsidP="007F6718">
            <w:pPr>
              <w:pStyle w:val="Header"/>
              <w:jc w:val="both"/>
            </w:pPr>
          </w:p>
          <w:p w:rsidR="000906A2" w:rsidRDefault="009D6FDC" w:rsidP="007F6718">
            <w:pPr>
              <w:pStyle w:val="Header"/>
              <w:jc w:val="both"/>
            </w:pPr>
            <w:r>
              <w:t>C.S.H.B. 3222</w:t>
            </w:r>
            <w:r>
              <w:t xml:space="preserve"> sets the annual state fee for </w:t>
            </w:r>
            <w:r w:rsidRPr="006D345E">
              <w:t xml:space="preserve">a nonresident brewer's or nonresident manufacturer's agent's </w:t>
            </w:r>
            <w:r>
              <w:t>permit at $2,500</w:t>
            </w:r>
            <w:r>
              <w:t xml:space="preserve"> and</w:t>
            </w:r>
            <w:r>
              <w:t xml:space="preserve"> </w:t>
            </w:r>
            <w:r>
              <w:t>restricts the issuance of such</w:t>
            </w:r>
            <w:r>
              <w:t xml:space="preserve"> a</w:t>
            </w:r>
            <w:r w:rsidRPr="00452E07">
              <w:t xml:space="preserve"> permit</w:t>
            </w:r>
            <w:r>
              <w:t xml:space="preserve"> to a person who holds a nonresident seller's permit</w:t>
            </w:r>
            <w:r>
              <w:t xml:space="preserve">. </w:t>
            </w:r>
          </w:p>
          <w:p w:rsidR="000906A2" w:rsidRDefault="009D6FDC" w:rsidP="007F6718">
            <w:pPr>
              <w:pStyle w:val="Header"/>
              <w:jc w:val="both"/>
            </w:pPr>
          </w:p>
          <w:p w:rsidR="000906A2" w:rsidRDefault="009D6FDC" w:rsidP="007F6718">
            <w:pPr>
              <w:pStyle w:val="Header"/>
              <w:jc w:val="both"/>
            </w:pPr>
            <w:r>
              <w:t xml:space="preserve">C.S.H.B. 3222 </w:t>
            </w:r>
            <w:r>
              <w:t>p</w:t>
            </w:r>
            <w:r>
              <w:t xml:space="preserve">rohibits a holder of a </w:t>
            </w:r>
            <w:r w:rsidRPr="00452E07">
              <w:t>nonresident brewer's or nonresident manufacturer's agent</w:t>
            </w:r>
            <w:r>
              <w:t>'</w:t>
            </w:r>
            <w:r w:rsidRPr="00452E07">
              <w:t>s permit</w:t>
            </w:r>
            <w:r>
              <w:t xml:space="preserve"> from representing a nonresident brewer or </w:t>
            </w:r>
            <w:r>
              <w:t xml:space="preserve">nonresident </w:t>
            </w:r>
            <w:r>
              <w:t>manufacturer unless the permit holder is the primary American source of supply</w:t>
            </w:r>
            <w:r>
              <w:t xml:space="preserve"> </w:t>
            </w:r>
            <w:r>
              <w:t>for a product produced by the nonr</w:t>
            </w:r>
            <w:r>
              <w:t>esident brewer or</w:t>
            </w:r>
            <w:r>
              <w:t xml:space="preserve"> nonresident</w:t>
            </w:r>
            <w:r>
              <w:t xml:space="preserve"> manufacturer. </w:t>
            </w:r>
            <w:r>
              <w:t xml:space="preserve">The bill defines "primary American source of supply" and establishes the condition under which the </w:t>
            </w:r>
            <w:r w:rsidRPr="00452E07">
              <w:t>nonresident brewer's or nonresident manufacturer's agent</w:t>
            </w:r>
            <w:r>
              <w:t xml:space="preserve"> is that source. </w:t>
            </w:r>
          </w:p>
          <w:p w:rsidR="000906A2" w:rsidRDefault="009D6FDC" w:rsidP="007F6718">
            <w:pPr>
              <w:pStyle w:val="Header"/>
              <w:jc w:val="both"/>
            </w:pPr>
          </w:p>
          <w:p w:rsidR="00047EE0" w:rsidRPr="00452E07" w:rsidRDefault="009D6FDC" w:rsidP="007F6718">
            <w:pPr>
              <w:pStyle w:val="Header"/>
              <w:jc w:val="both"/>
            </w:pPr>
            <w:r>
              <w:t>C.S.H.B. 3222</w:t>
            </w:r>
            <w:r>
              <w:t xml:space="preserve"> prohibits </w:t>
            </w:r>
            <w:r>
              <w:t xml:space="preserve">a </w:t>
            </w:r>
            <w:r w:rsidRPr="00452E07">
              <w:t xml:space="preserve">nonresident </w:t>
            </w:r>
            <w:r w:rsidRPr="00452E07">
              <w:t>brewer's or nonresident manufacturer's agent</w:t>
            </w:r>
            <w:r>
              <w:t>'</w:t>
            </w:r>
            <w:r w:rsidRPr="00452E07">
              <w:t>s permit</w:t>
            </w:r>
            <w:r>
              <w:t xml:space="preserve"> from being issued to a person unless the person shows to the satisfaction of TABC that the person has been authorized to act as the agent of a nonresident brewer or </w:t>
            </w:r>
            <w:r>
              <w:t xml:space="preserve">nonresident </w:t>
            </w:r>
            <w:r>
              <w:t>manufacturer the person p</w:t>
            </w:r>
            <w:r>
              <w:t>roposes to represent. The bill establishes that nothing in the bill's provisions affects a territorial agreemen</w:t>
            </w:r>
            <w:r>
              <w:t xml:space="preserve">t under </w:t>
            </w:r>
            <w:r>
              <w:t>statutory</w:t>
            </w:r>
            <w:r>
              <w:t xml:space="preserve"> provisions relating to intra-industry relationships.</w:t>
            </w:r>
          </w:p>
          <w:p w:rsidR="004A3241" w:rsidRPr="00835628" w:rsidRDefault="009D6FDC" w:rsidP="00C31A81">
            <w:pPr>
              <w:pStyle w:val="Header"/>
              <w:jc w:val="both"/>
              <w:rPr>
                <w:b/>
              </w:rPr>
            </w:pPr>
          </w:p>
        </w:tc>
      </w:tr>
      <w:tr w:rsidR="00E26F6A" w:rsidTr="00452E07">
        <w:tc>
          <w:tcPr>
            <w:tcW w:w="9576" w:type="dxa"/>
          </w:tcPr>
          <w:p w:rsidR="008423E4" w:rsidRPr="00A8133F" w:rsidRDefault="009D6FDC" w:rsidP="00C31A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D6FDC" w:rsidP="00C31A81"/>
          <w:p w:rsidR="008423E4" w:rsidRPr="003624F2" w:rsidRDefault="009D6FDC" w:rsidP="00C31A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D6FDC" w:rsidP="00C31A81">
            <w:pPr>
              <w:rPr>
                <w:b/>
              </w:rPr>
            </w:pPr>
          </w:p>
        </w:tc>
      </w:tr>
      <w:tr w:rsidR="00E26F6A" w:rsidTr="00452E07">
        <w:tc>
          <w:tcPr>
            <w:tcW w:w="9576" w:type="dxa"/>
          </w:tcPr>
          <w:p w:rsidR="00871D26" w:rsidRDefault="009D6FDC" w:rsidP="00C31A8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B5253E" w:rsidRDefault="009D6FDC" w:rsidP="00C31A81">
            <w:pPr>
              <w:jc w:val="both"/>
            </w:pPr>
          </w:p>
          <w:p w:rsidR="00B5253E" w:rsidRDefault="009D6FDC" w:rsidP="00C31A81">
            <w:pPr>
              <w:jc w:val="both"/>
            </w:pPr>
            <w:r>
              <w:t>C.S.H.B. 322</w:t>
            </w:r>
            <w:r>
              <w:t>2</w:t>
            </w:r>
            <w:r>
              <w:t xml:space="preserve"> differs from the original in minor or nonsubstantive ways by conforming to certain bill drafting conventions.</w:t>
            </w:r>
          </w:p>
          <w:p w:rsidR="00B5253E" w:rsidRDefault="009D6FDC" w:rsidP="00C31A81">
            <w:pPr>
              <w:jc w:val="both"/>
            </w:pPr>
          </w:p>
          <w:p w:rsidR="008B47E1" w:rsidRPr="008B47E1" w:rsidRDefault="009D6FDC" w:rsidP="00C31A81">
            <w:pPr>
              <w:jc w:val="both"/>
            </w:pPr>
            <w:r>
              <w:t xml:space="preserve">The substitute includes a provision regarding the effect of statutory provisions </w:t>
            </w:r>
            <w:r>
              <w:t xml:space="preserve">with respect to </w:t>
            </w:r>
            <w:r>
              <w:t>a territorial agreemen</w:t>
            </w:r>
            <w:r>
              <w:t>t under statutory provisions relating to intra-industry relationships</w:t>
            </w:r>
            <w:r>
              <w:t>.</w:t>
            </w:r>
          </w:p>
        </w:tc>
      </w:tr>
      <w:tr w:rsidR="00E26F6A" w:rsidTr="00452E07">
        <w:tc>
          <w:tcPr>
            <w:tcW w:w="9576" w:type="dxa"/>
          </w:tcPr>
          <w:p w:rsidR="00871D26" w:rsidRPr="009C1E9A" w:rsidRDefault="009D6FDC" w:rsidP="00C31A81">
            <w:pPr>
              <w:rPr>
                <w:b/>
                <w:u w:val="single"/>
              </w:rPr>
            </w:pPr>
          </w:p>
        </w:tc>
      </w:tr>
      <w:tr w:rsidR="00E26F6A" w:rsidTr="00452E07">
        <w:tc>
          <w:tcPr>
            <w:tcW w:w="9576" w:type="dxa"/>
          </w:tcPr>
          <w:p w:rsidR="00871D26" w:rsidRPr="00871D26" w:rsidRDefault="009D6FDC" w:rsidP="00C31A81">
            <w:pPr>
              <w:jc w:val="both"/>
            </w:pPr>
          </w:p>
        </w:tc>
      </w:tr>
    </w:tbl>
    <w:p w:rsidR="008423E4" w:rsidRPr="00BE0E75" w:rsidRDefault="009D6FD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D6FD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6FDC">
      <w:r>
        <w:separator/>
      </w:r>
    </w:p>
  </w:endnote>
  <w:endnote w:type="continuationSeparator" w:id="0">
    <w:p w:rsidR="00000000" w:rsidRDefault="009D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07" w:rsidRDefault="009D6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6F6A" w:rsidTr="009C1E9A">
      <w:trPr>
        <w:cantSplit/>
      </w:trPr>
      <w:tc>
        <w:tcPr>
          <w:tcW w:w="0" w:type="pct"/>
        </w:tcPr>
        <w:p w:rsidR="00452E07" w:rsidRDefault="009D6F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452E07" w:rsidRDefault="009D6F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452E07" w:rsidRDefault="009D6F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452E07" w:rsidRDefault="009D6F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452E07" w:rsidRDefault="009D6F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6F6A" w:rsidTr="009C1E9A">
      <w:trPr>
        <w:cantSplit/>
      </w:trPr>
      <w:tc>
        <w:tcPr>
          <w:tcW w:w="0" w:type="pct"/>
        </w:tcPr>
        <w:p w:rsidR="00452E07" w:rsidRDefault="009D6F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452E07" w:rsidRPr="009C1E9A" w:rsidRDefault="009D6FD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26763</w:t>
          </w:r>
        </w:p>
      </w:tc>
      <w:tc>
        <w:tcPr>
          <w:tcW w:w="2453" w:type="pct"/>
        </w:tcPr>
        <w:p w:rsidR="00452E07" w:rsidRDefault="009D6F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19.103.105</w:t>
          </w:r>
          <w:r>
            <w:fldChar w:fldCharType="end"/>
          </w:r>
        </w:p>
      </w:tc>
    </w:tr>
    <w:tr w:rsidR="00E26F6A" w:rsidTr="009C1E9A">
      <w:trPr>
        <w:cantSplit/>
      </w:trPr>
      <w:tc>
        <w:tcPr>
          <w:tcW w:w="0" w:type="pct"/>
        </w:tcPr>
        <w:p w:rsidR="00452E07" w:rsidRDefault="009D6F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452E07" w:rsidRPr="009C1E9A" w:rsidRDefault="009D6F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17233</w:t>
          </w:r>
        </w:p>
      </w:tc>
      <w:tc>
        <w:tcPr>
          <w:tcW w:w="2453" w:type="pct"/>
        </w:tcPr>
        <w:p w:rsidR="00452E07" w:rsidRDefault="009D6FDC" w:rsidP="006D504F">
          <w:pPr>
            <w:pStyle w:val="Footer"/>
            <w:rPr>
              <w:rStyle w:val="PageNumber"/>
            </w:rPr>
          </w:pPr>
        </w:p>
        <w:p w:rsidR="00452E07" w:rsidRDefault="009D6F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6F6A" w:rsidTr="009C1E9A">
      <w:trPr>
        <w:cantSplit/>
        <w:trHeight w:val="323"/>
      </w:trPr>
      <w:tc>
        <w:tcPr>
          <w:tcW w:w="0" w:type="pct"/>
          <w:gridSpan w:val="3"/>
        </w:tcPr>
        <w:p w:rsidR="00452E07" w:rsidRDefault="009D6F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452E07" w:rsidRDefault="009D6FD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452E07" w:rsidRPr="00FF6F72" w:rsidRDefault="009D6FD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07" w:rsidRDefault="009D6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6FDC">
      <w:r>
        <w:separator/>
      </w:r>
    </w:p>
  </w:footnote>
  <w:footnote w:type="continuationSeparator" w:id="0">
    <w:p w:rsidR="00000000" w:rsidRDefault="009D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07" w:rsidRDefault="009D6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07" w:rsidRDefault="009D6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07" w:rsidRDefault="009D6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6D77"/>
    <w:multiLevelType w:val="hybridMultilevel"/>
    <w:tmpl w:val="5C6AAF14"/>
    <w:lvl w:ilvl="0" w:tplc="9F785C1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6A5B5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DBE623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2FEC04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B46B79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45493A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B3CE89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A021FE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B58F6D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4C6E01"/>
    <w:multiLevelType w:val="hybridMultilevel"/>
    <w:tmpl w:val="D746475C"/>
    <w:lvl w:ilvl="0" w:tplc="5DA4B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E6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EB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055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2E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7E4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2A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23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3E7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A"/>
    <w:rsid w:val="009D6FDC"/>
    <w:rsid w:val="00E2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56C029-7915-4930-B22B-0DC984EB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959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5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596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5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596D"/>
    <w:rPr>
      <w:b/>
      <w:bCs/>
    </w:rPr>
  </w:style>
  <w:style w:type="character" w:styleId="Hyperlink">
    <w:name w:val="Hyperlink"/>
    <w:basedOn w:val="DefaultParagraphFont"/>
    <w:unhideWhenUsed/>
    <w:rsid w:val="00D27F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106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3073</Characters>
  <Application>Microsoft Office Word</Application>
  <DocSecurity>4</DocSecurity>
  <Lines>78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HB03222 (Committee Report (Substituted))</vt:lpstr>
    </vt:vector>
  </TitlesOfParts>
  <Company>State of Texas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26763</dc:subject>
  <dc:creator>State of Texas</dc:creator>
  <dc:description>HB 3222 by King, Ken-(H)Licensing &amp; Administrative Procedures (Substitute Document Number: 86R 17233)</dc:description>
  <cp:lastModifiedBy>Laura Ramsay</cp:lastModifiedBy>
  <cp:revision>2</cp:revision>
  <cp:lastPrinted>2003-11-26T17:21:00Z</cp:lastPrinted>
  <dcterms:created xsi:type="dcterms:W3CDTF">2019-04-16T21:40:00Z</dcterms:created>
  <dcterms:modified xsi:type="dcterms:W3CDTF">2019-04-16T21:40:00Z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19.103.105</vt:lpwstr>
  </property>
</Properties>
</file>