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E1FB0" w:rsidTr="00345119">
        <w:tc>
          <w:tcPr>
            <w:tcW w:w="9576" w:type="dxa"/>
            <w:noWrap/>
          </w:tcPr>
          <w:p w:rsidR="008423E4" w:rsidRPr="0022177D" w:rsidRDefault="000D289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D2896" w:rsidP="008423E4">
      <w:pPr>
        <w:jc w:val="center"/>
      </w:pPr>
    </w:p>
    <w:p w:rsidR="008423E4" w:rsidRPr="00B31F0E" w:rsidRDefault="000D2896" w:rsidP="008423E4"/>
    <w:p w:rsidR="008423E4" w:rsidRPr="00742794" w:rsidRDefault="000D289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E1FB0" w:rsidTr="00345119">
        <w:tc>
          <w:tcPr>
            <w:tcW w:w="9576" w:type="dxa"/>
          </w:tcPr>
          <w:p w:rsidR="008423E4" w:rsidRPr="00861995" w:rsidRDefault="000D2896" w:rsidP="00FD6509">
            <w:pPr>
              <w:jc w:val="right"/>
            </w:pPr>
            <w:r>
              <w:t>C.S.H.B. 3224</w:t>
            </w:r>
          </w:p>
        </w:tc>
      </w:tr>
      <w:tr w:rsidR="00AE1FB0" w:rsidTr="00345119">
        <w:tc>
          <w:tcPr>
            <w:tcW w:w="9576" w:type="dxa"/>
          </w:tcPr>
          <w:p w:rsidR="008423E4" w:rsidRPr="00861995" w:rsidRDefault="000D2896" w:rsidP="00BB4138">
            <w:pPr>
              <w:jc w:val="right"/>
            </w:pPr>
            <w:r>
              <w:t xml:space="preserve">By: </w:t>
            </w:r>
            <w:r>
              <w:t>Lozano</w:t>
            </w:r>
          </w:p>
        </w:tc>
      </w:tr>
      <w:tr w:rsidR="00AE1FB0" w:rsidTr="00345119">
        <w:tc>
          <w:tcPr>
            <w:tcW w:w="9576" w:type="dxa"/>
          </w:tcPr>
          <w:p w:rsidR="008423E4" w:rsidRPr="00861995" w:rsidRDefault="000D2896" w:rsidP="00FD6509">
            <w:pPr>
              <w:jc w:val="right"/>
            </w:pPr>
            <w:r>
              <w:t>Environmental Regulation</w:t>
            </w:r>
          </w:p>
        </w:tc>
      </w:tr>
      <w:tr w:rsidR="00AE1FB0" w:rsidTr="00345119">
        <w:tc>
          <w:tcPr>
            <w:tcW w:w="9576" w:type="dxa"/>
          </w:tcPr>
          <w:p w:rsidR="008423E4" w:rsidRDefault="000D2896" w:rsidP="00FD650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0D2896" w:rsidP="008423E4">
      <w:pPr>
        <w:tabs>
          <w:tab w:val="right" w:pos="9360"/>
        </w:tabs>
      </w:pPr>
    </w:p>
    <w:p w:rsidR="008423E4" w:rsidRDefault="000D2896" w:rsidP="008423E4"/>
    <w:p w:rsidR="008423E4" w:rsidRDefault="000D289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E1FB0" w:rsidTr="00345119">
        <w:tc>
          <w:tcPr>
            <w:tcW w:w="9576" w:type="dxa"/>
          </w:tcPr>
          <w:p w:rsidR="008423E4" w:rsidRPr="00A8133F" w:rsidRDefault="000D2896" w:rsidP="00FA634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D2896" w:rsidP="00FA6349"/>
          <w:p w:rsidR="008423E4" w:rsidRDefault="000D2896" w:rsidP="00FA63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 m</w:t>
            </w:r>
            <w:r>
              <w:t>etal recycling entities arrange for recycling</w:t>
            </w:r>
            <w:r>
              <w:t xml:space="preserve"> of recyclable material</w:t>
            </w:r>
            <w:r>
              <w:t xml:space="preserve"> with </w:t>
            </w:r>
            <w:r>
              <w:t>certain</w:t>
            </w:r>
            <w:r>
              <w:t xml:space="preserve"> facilities</w:t>
            </w:r>
            <w:r>
              <w:t xml:space="preserve"> and that such a</w:t>
            </w:r>
            <w:r>
              <w:t xml:space="preserve"> facilit</w:t>
            </w:r>
            <w:r>
              <w:t>y may</w:t>
            </w:r>
            <w:r>
              <w:t xml:space="preserve"> go out of business</w:t>
            </w:r>
            <w:r>
              <w:t xml:space="preserve"> after having</w:t>
            </w:r>
            <w:r>
              <w:t xml:space="preserve"> pollut</w:t>
            </w:r>
            <w:r>
              <w:t>ed</w:t>
            </w:r>
            <w:r>
              <w:t xml:space="preserve"> the environment with the recyclable material. </w:t>
            </w:r>
            <w:r>
              <w:t xml:space="preserve">Concerns have been raised that in such a case </w:t>
            </w:r>
            <w:r>
              <w:t xml:space="preserve">the </w:t>
            </w:r>
            <w:r>
              <w:t>metal recycling entity</w:t>
            </w:r>
            <w:r>
              <w:t xml:space="preserve"> that arranged for the recycling </w:t>
            </w:r>
            <w:r>
              <w:t>may</w:t>
            </w:r>
            <w:r>
              <w:t xml:space="preserve"> be held liable for the polluti</w:t>
            </w:r>
            <w:r>
              <w:t>o</w:t>
            </w:r>
            <w:r>
              <w:t xml:space="preserve">n. </w:t>
            </w:r>
            <w:r>
              <w:t>C.S.H.B.</w:t>
            </w:r>
            <w:r>
              <w:t xml:space="preserve"> 3224 seeks to address these concerns and </w:t>
            </w:r>
            <w:r>
              <w:t>bring state law in line with federal law</w:t>
            </w:r>
            <w:r>
              <w:t xml:space="preserve"> by </w:t>
            </w:r>
            <w:r>
              <w:t>creating</w:t>
            </w:r>
            <w:r>
              <w:t xml:space="preserve"> </w:t>
            </w:r>
            <w:r w:rsidRPr="00C1327C">
              <w:t>a defense under the Solid Waste Disposal Act for persons engaged in certain recycling transactions</w:t>
            </w:r>
            <w:r>
              <w:t>.</w:t>
            </w:r>
            <w:r>
              <w:t xml:space="preserve"> </w:t>
            </w:r>
          </w:p>
          <w:p w:rsidR="008423E4" w:rsidRPr="00E26B13" w:rsidRDefault="000D2896" w:rsidP="00FA6349">
            <w:pPr>
              <w:rPr>
                <w:b/>
              </w:rPr>
            </w:pPr>
          </w:p>
        </w:tc>
      </w:tr>
      <w:tr w:rsidR="00AE1FB0" w:rsidTr="00345119">
        <w:tc>
          <w:tcPr>
            <w:tcW w:w="9576" w:type="dxa"/>
          </w:tcPr>
          <w:p w:rsidR="0017725B" w:rsidRDefault="000D2896" w:rsidP="00FA634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D2896" w:rsidP="00FA6349">
            <w:pPr>
              <w:rPr>
                <w:b/>
                <w:u w:val="single"/>
              </w:rPr>
            </w:pPr>
          </w:p>
          <w:p w:rsidR="001D4C14" w:rsidRPr="001D4C14" w:rsidRDefault="000D2896" w:rsidP="00FA6349">
            <w:pPr>
              <w:jc w:val="both"/>
            </w:pPr>
            <w:r>
              <w:t>It is the committee's</w:t>
            </w:r>
            <w:r>
              <w:t xml:space="preserve">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D2896" w:rsidP="00FA6349">
            <w:pPr>
              <w:rPr>
                <w:b/>
                <w:u w:val="single"/>
              </w:rPr>
            </w:pPr>
          </w:p>
        </w:tc>
      </w:tr>
      <w:tr w:rsidR="00AE1FB0" w:rsidTr="00345119">
        <w:tc>
          <w:tcPr>
            <w:tcW w:w="9576" w:type="dxa"/>
          </w:tcPr>
          <w:p w:rsidR="008423E4" w:rsidRPr="00A8133F" w:rsidRDefault="000D2896" w:rsidP="00FA634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</w:t>
            </w:r>
            <w:r w:rsidRPr="009C1E9A">
              <w:rPr>
                <w:b/>
                <w:u w:val="single"/>
              </w:rPr>
              <w:t>EMAKING AUTHORITY</w:t>
            </w:r>
            <w:r>
              <w:rPr>
                <w:b/>
              </w:rPr>
              <w:t xml:space="preserve"> </w:t>
            </w:r>
          </w:p>
          <w:p w:rsidR="008423E4" w:rsidRDefault="000D2896" w:rsidP="00FA6349"/>
          <w:p w:rsidR="001D4C14" w:rsidRDefault="000D2896" w:rsidP="00FA63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D2896" w:rsidP="00FA6349">
            <w:pPr>
              <w:rPr>
                <w:b/>
              </w:rPr>
            </w:pPr>
          </w:p>
        </w:tc>
      </w:tr>
      <w:tr w:rsidR="00AE1FB0" w:rsidTr="00345119">
        <w:tc>
          <w:tcPr>
            <w:tcW w:w="9576" w:type="dxa"/>
          </w:tcPr>
          <w:p w:rsidR="008423E4" w:rsidRPr="00A8133F" w:rsidRDefault="000D2896" w:rsidP="00FA634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D2896" w:rsidP="00FA6349"/>
          <w:p w:rsidR="008423E4" w:rsidRDefault="000D2896" w:rsidP="00FA63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</w:t>
            </w:r>
            <w:r w:rsidRPr="00642E19">
              <w:t xml:space="preserve"> </w:t>
            </w:r>
            <w:r>
              <w:t>3224</w:t>
            </w:r>
            <w:r w:rsidRPr="00642E19">
              <w:t xml:space="preserve"> amends the Health and Safety Code to establish that a person who arranges for recycling of recyclable material is not responsible</w:t>
            </w:r>
            <w:r>
              <w:t xml:space="preserve"> </w:t>
            </w:r>
            <w:r w:rsidRPr="00642E19">
              <w:t xml:space="preserve">for the </w:t>
            </w:r>
            <w:r>
              <w:t xml:space="preserve">following </w:t>
            </w:r>
            <w:r w:rsidRPr="00642E19">
              <w:t>recyclable material</w:t>
            </w:r>
            <w:r>
              <w:t>s</w:t>
            </w:r>
            <w:r w:rsidRPr="00642E19">
              <w:t xml:space="preserve"> </w:t>
            </w:r>
            <w:r>
              <w:t>under the Solid Waste Disposal Act</w:t>
            </w:r>
            <w:r w:rsidRPr="00642E19">
              <w:t xml:space="preserve"> </w:t>
            </w:r>
            <w:r w:rsidRPr="00642E19">
              <w:t>if the person can establish by a preponderance of t</w:t>
            </w:r>
            <w:r w:rsidRPr="00642E19">
              <w:t xml:space="preserve">he evidence that the person would not be liable with respect to </w:t>
            </w:r>
            <w:r>
              <w:t>the</w:t>
            </w:r>
            <w:r w:rsidRPr="00642E19">
              <w:t xml:space="preserve"> </w:t>
            </w:r>
            <w:r w:rsidRPr="00642E19">
              <w:t>recyclable material under certain federal law based on the person meeting the criteria established under federal law relating to transactions involving that type of recyclable material</w:t>
            </w:r>
            <w:r>
              <w:t>:</w:t>
            </w:r>
            <w:r>
              <w:t xml:space="preserve"> </w:t>
            </w:r>
          </w:p>
          <w:p w:rsidR="00BC0AA1" w:rsidRDefault="000D2896" w:rsidP="00FA634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</w:t>
            </w:r>
            <w:r>
              <w:t xml:space="preserve">pplicable </w:t>
            </w:r>
            <w:r>
              <w:t xml:space="preserve">solid waste that </w:t>
            </w:r>
            <w:r>
              <w:t>the</w:t>
            </w:r>
            <w:r>
              <w:t xml:space="preserve"> person arranged to process, store, or dispose of, or arranged with a transporter for transport to process, store</w:t>
            </w:r>
            <w:r>
              <w:t>,</w:t>
            </w:r>
            <w:r>
              <w:t xml:space="preserve"> or dispose of, at certain </w:t>
            </w:r>
            <w:r>
              <w:t xml:space="preserve">solid waste </w:t>
            </w:r>
            <w:r>
              <w:t>facilities or sites; or</w:t>
            </w:r>
          </w:p>
          <w:p w:rsidR="00BC0AA1" w:rsidRDefault="000D2896" w:rsidP="00FA634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applicable </w:t>
            </w:r>
            <w:r>
              <w:t xml:space="preserve">solid waste </w:t>
            </w:r>
            <w:r>
              <w:t>that the person accepts or</w:t>
            </w:r>
            <w:r>
              <w:t xml:space="preserve"> accepted for transport to </w:t>
            </w:r>
            <w:r>
              <w:t>a solid waste</w:t>
            </w:r>
            <w:r>
              <w:t xml:space="preserve"> facility or site selected by the person.</w:t>
            </w:r>
          </w:p>
          <w:p w:rsidR="00797953" w:rsidRDefault="000D2896" w:rsidP="00FA634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</w:p>
          <w:p w:rsidR="004C5148" w:rsidRDefault="000D2896" w:rsidP="00FA634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C.S.H.B.</w:t>
            </w:r>
            <w:r w:rsidRPr="00642E19">
              <w:t xml:space="preserve"> </w:t>
            </w:r>
            <w:r>
              <w:t>3224</w:t>
            </w:r>
            <w:r>
              <w:t xml:space="preserve">, for its purposes, defines "recyclable material" by reference to federal law but </w:t>
            </w:r>
            <w:r>
              <w:t>excludes</w:t>
            </w:r>
            <w:r>
              <w:t xml:space="preserve"> scrap metal</w:t>
            </w:r>
            <w:r>
              <w:t xml:space="preserve"> </w:t>
            </w:r>
            <w:r>
              <w:t>from the term</w:t>
            </w:r>
            <w:r>
              <w:t>.</w:t>
            </w:r>
          </w:p>
          <w:p w:rsidR="008423E4" w:rsidRPr="00835628" w:rsidRDefault="000D2896" w:rsidP="00FA6349">
            <w:pPr>
              <w:rPr>
                <w:b/>
              </w:rPr>
            </w:pPr>
          </w:p>
        </w:tc>
      </w:tr>
      <w:tr w:rsidR="00AE1FB0" w:rsidTr="00345119">
        <w:tc>
          <w:tcPr>
            <w:tcW w:w="9576" w:type="dxa"/>
          </w:tcPr>
          <w:p w:rsidR="008423E4" w:rsidRPr="00A8133F" w:rsidRDefault="000D2896" w:rsidP="00FA634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D2896" w:rsidP="00FA6349"/>
          <w:p w:rsidR="008423E4" w:rsidRDefault="000D2896" w:rsidP="00FA63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797953" w:rsidRPr="003624F2" w:rsidRDefault="000D2896" w:rsidP="00FA63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Pr="00233FDB" w:rsidRDefault="000D2896" w:rsidP="00FA6349">
            <w:pPr>
              <w:rPr>
                <w:b/>
              </w:rPr>
            </w:pPr>
          </w:p>
        </w:tc>
      </w:tr>
      <w:tr w:rsidR="00AE1FB0" w:rsidTr="00345119">
        <w:tc>
          <w:tcPr>
            <w:tcW w:w="9576" w:type="dxa"/>
          </w:tcPr>
          <w:p w:rsidR="00BB4138" w:rsidRDefault="000D2896" w:rsidP="00FA634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DD42BA" w:rsidRDefault="000D2896" w:rsidP="00FA6349">
            <w:pPr>
              <w:jc w:val="both"/>
            </w:pPr>
          </w:p>
          <w:p w:rsidR="00DD42BA" w:rsidRDefault="000D2896" w:rsidP="00FA6349">
            <w:pPr>
              <w:jc w:val="both"/>
            </w:pPr>
            <w:r>
              <w:t>While C.S.H.B. 3224 may differ from the original in minor or nonsubstantive ways, the following summarizes the substantial differences between the introduced and committee substitute versions of the bill.</w:t>
            </w:r>
          </w:p>
          <w:p w:rsidR="00DD42BA" w:rsidRDefault="000D2896" w:rsidP="00FA6349">
            <w:pPr>
              <w:jc w:val="both"/>
            </w:pPr>
          </w:p>
          <w:p w:rsidR="00DD42BA" w:rsidRDefault="000D2896" w:rsidP="00FA6349">
            <w:pPr>
              <w:jc w:val="both"/>
            </w:pPr>
            <w:r>
              <w:t>The substit</w:t>
            </w:r>
            <w:r>
              <w:t xml:space="preserve">ute excludes scrap metal </w:t>
            </w:r>
            <w:r>
              <w:t xml:space="preserve">from the </w:t>
            </w:r>
            <w:r>
              <w:t xml:space="preserve">term "recyclable material" </w:t>
            </w:r>
            <w:r>
              <w:t>applicab</w:t>
            </w:r>
            <w:r>
              <w:t>le to</w:t>
            </w:r>
            <w:r>
              <w:t xml:space="preserve"> the bill</w:t>
            </w:r>
            <w:r>
              <w:t>'</w:t>
            </w:r>
            <w:r>
              <w:t>s provisions.</w:t>
            </w:r>
          </w:p>
          <w:p w:rsidR="00DD42BA" w:rsidRPr="00DD42BA" w:rsidRDefault="000D2896" w:rsidP="00FA6349">
            <w:pPr>
              <w:jc w:val="both"/>
            </w:pPr>
          </w:p>
        </w:tc>
      </w:tr>
      <w:tr w:rsidR="00AE1FB0" w:rsidTr="00345119">
        <w:tc>
          <w:tcPr>
            <w:tcW w:w="9576" w:type="dxa"/>
          </w:tcPr>
          <w:p w:rsidR="00BB4138" w:rsidRPr="009C1E9A" w:rsidRDefault="000D2896" w:rsidP="00FA6349">
            <w:pPr>
              <w:rPr>
                <w:b/>
                <w:u w:val="single"/>
              </w:rPr>
            </w:pPr>
          </w:p>
        </w:tc>
      </w:tr>
      <w:tr w:rsidR="00AE1FB0" w:rsidTr="00345119">
        <w:tc>
          <w:tcPr>
            <w:tcW w:w="9576" w:type="dxa"/>
          </w:tcPr>
          <w:p w:rsidR="00BB4138" w:rsidRPr="00BB4138" w:rsidRDefault="000D2896" w:rsidP="00FA6349">
            <w:pPr>
              <w:jc w:val="both"/>
            </w:pPr>
          </w:p>
        </w:tc>
      </w:tr>
    </w:tbl>
    <w:p w:rsidR="008423E4" w:rsidRPr="00BE0E75" w:rsidRDefault="000D289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D2896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D2896">
      <w:r>
        <w:separator/>
      </w:r>
    </w:p>
  </w:endnote>
  <w:endnote w:type="continuationSeparator" w:id="0">
    <w:p w:rsidR="00000000" w:rsidRDefault="000D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D28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E1FB0" w:rsidTr="009C1E9A">
      <w:trPr>
        <w:cantSplit/>
      </w:trPr>
      <w:tc>
        <w:tcPr>
          <w:tcW w:w="0" w:type="pct"/>
        </w:tcPr>
        <w:p w:rsidR="00137D90" w:rsidRDefault="000D289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D289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D289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D289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D289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E1FB0" w:rsidTr="009C1E9A">
      <w:trPr>
        <w:cantSplit/>
      </w:trPr>
      <w:tc>
        <w:tcPr>
          <w:tcW w:w="0" w:type="pct"/>
        </w:tcPr>
        <w:p w:rsidR="00EC379B" w:rsidRDefault="000D289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D2896" w:rsidP="00FD6509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26258</w:t>
          </w:r>
        </w:p>
      </w:tc>
      <w:tc>
        <w:tcPr>
          <w:tcW w:w="2453" w:type="pct"/>
        </w:tcPr>
        <w:p w:rsidR="00EC379B" w:rsidRDefault="000D289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19.101.98</w:t>
          </w:r>
          <w:r>
            <w:fldChar w:fldCharType="end"/>
          </w:r>
        </w:p>
      </w:tc>
    </w:tr>
    <w:tr w:rsidR="00AE1FB0" w:rsidTr="009C1E9A">
      <w:trPr>
        <w:cantSplit/>
      </w:trPr>
      <w:tc>
        <w:tcPr>
          <w:tcW w:w="0" w:type="pct"/>
        </w:tcPr>
        <w:p w:rsidR="00EC379B" w:rsidRDefault="000D289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D289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</w:t>
          </w:r>
          <w:r>
            <w:rPr>
              <w:rFonts w:ascii="Shruti" w:hAnsi="Shruti"/>
              <w:sz w:val="22"/>
            </w:rPr>
            <w:t xml:space="preserve"> Document Number: 86R 22582</w:t>
          </w:r>
        </w:p>
      </w:tc>
      <w:tc>
        <w:tcPr>
          <w:tcW w:w="2453" w:type="pct"/>
        </w:tcPr>
        <w:p w:rsidR="00EC379B" w:rsidRDefault="000D2896" w:rsidP="006D504F">
          <w:pPr>
            <w:pStyle w:val="Footer"/>
            <w:rPr>
              <w:rStyle w:val="PageNumber"/>
            </w:rPr>
          </w:pPr>
        </w:p>
        <w:p w:rsidR="00EC379B" w:rsidRDefault="000D289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E1FB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D289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0D289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D289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D2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D2896">
      <w:r>
        <w:separator/>
      </w:r>
    </w:p>
  </w:footnote>
  <w:footnote w:type="continuationSeparator" w:id="0">
    <w:p w:rsidR="00000000" w:rsidRDefault="000D2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D28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D28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D28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36A00"/>
    <w:multiLevelType w:val="hybridMultilevel"/>
    <w:tmpl w:val="ACBC4994"/>
    <w:lvl w:ilvl="0" w:tplc="D550E0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3A01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DEFC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CAAB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3E5E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EC96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8C8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322F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227A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B0"/>
    <w:rsid w:val="000D2896"/>
    <w:rsid w:val="00AE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499C44-E7DC-40A6-A26E-2E856892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D4C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D4C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4C1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4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4C14"/>
    <w:rPr>
      <w:b/>
      <w:bCs/>
    </w:rPr>
  </w:style>
  <w:style w:type="character" w:styleId="Hyperlink">
    <w:name w:val="Hyperlink"/>
    <w:basedOn w:val="DefaultParagraphFont"/>
    <w:unhideWhenUsed/>
    <w:rsid w:val="00BC23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628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2175</Characters>
  <Application>Microsoft Office Word</Application>
  <DocSecurity>4</DocSecurity>
  <Lines>66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HB03224 (Committee Report (Substituted))</vt:lpstr>
    </vt:vector>
  </TitlesOfParts>
  <Company>State of Texas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26258</dc:subject>
  <dc:creator>State of Texas</dc:creator>
  <dc:description>HB 3224 by Lozano-(H)Environmental Regulation (Substitute Document Number: 86R 22582)</dc:description>
  <cp:lastModifiedBy>Stacey Nicchio</cp:lastModifiedBy>
  <cp:revision>2</cp:revision>
  <cp:lastPrinted>2003-11-26T17:21:00Z</cp:lastPrinted>
  <dcterms:created xsi:type="dcterms:W3CDTF">2019-04-15T23:08:00Z</dcterms:created>
  <dcterms:modified xsi:type="dcterms:W3CDTF">2019-04-15T23:08:00Z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19.101.98</vt:lpwstr>
  </property>
</Properties>
</file>