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82377" w:rsidTr="00345119">
        <w:tc>
          <w:tcPr>
            <w:tcW w:w="9576" w:type="dxa"/>
            <w:noWrap/>
          </w:tcPr>
          <w:p w:rsidR="008423E4" w:rsidRPr="0022177D" w:rsidRDefault="007E14B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E14B4" w:rsidP="008423E4">
      <w:pPr>
        <w:jc w:val="center"/>
      </w:pPr>
    </w:p>
    <w:p w:rsidR="008423E4" w:rsidRPr="00B31F0E" w:rsidRDefault="007E14B4" w:rsidP="008423E4"/>
    <w:p w:rsidR="008423E4" w:rsidRPr="00742794" w:rsidRDefault="007E14B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82377" w:rsidTr="00345119">
        <w:tc>
          <w:tcPr>
            <w:tcW w:w="9576" w:type="dxa"/>
          </w:tcPr>
          <w:p w:rsidR="008423E4" w:rsidRPr="00861995" w:rsidRDefault="007E14B4" w:rsidP="00345119">
            <w:pPr>
              <w:jc w:val="right"/>
            </w:pPr>
            <w:r>
              <w:t>H.B. 3231</w:t>
            </w:r>
          </w:p>
        </w:tc>
      </w:tr>
      <w:tr w:rsidR="00382377" w:rsidTr="00345119">
        <w:tc>
          <w:tcPr>
            <w:tcW w:w="9576" w:type="dxa"/>
          </w:tcPr>
          <w:p w:rsidR="008423E4" w:rsidRPr="00861995" w:rsidRDefault="007E14B4" w:rsidP="0038763F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382377" w:rsidTr="00345119">
        <w:tc>
          <w:tcPr>
            <w:tcW w:w="9576" w:type="dxa"/>
          </w:tcPr>
          <w:p w:rsidR="008423E4" w:rsidRPr="00861995" w:rsidRDefault="007E14B4" w:rsidP="00345119">
            <w:pPr>
              <w:jc w:val="right"/>
            </w:pPr>
            <w:r>
              <w:t>Homeland Security &amp; Public Safety</w:t>
            </w:r>
          </w:p>
        </w:tc>
      </w:tr>
      <w:tr w:rsidR="00382377" w:rsidTr="00345119">
        <w:tc>
          <w:tcPr>
            <w:tcW w:w="9576" w:type="dxa"/>
          </w:tcPr>
          <w:p w:rsidR="008423E4" w:rsidRDefault="007E14B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E14B4" w:rsidP="008423E4">
      <w:pPr>
        <w:tabs>
          <w:tab w:val="right" w:pos="9360"/>
        </w:tabs>
      </w:pPr>
    </w:p>
    <w:p w:rsidR="008423E4" w:rsidRDefault="007E14B4" w:rsidP="008423E4"/>
    <w:p w:rsidR="008423E4" w:rsidRDefault="007E14B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82377" w:rsidTr="00345119">
        <w:tc>
          <w:tcPr>
            <w:tcW w:w="9576" w:type="dxa"/>
          </w:tcPr>
          <w:p w:rsidR="008423E4" w:rsidRPr="00A8133F" w:rsidRDefault="007E14B4" w:rsidP="004A361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E14B4" w:rsidP="004A3612"/>
          <w:p w:rsidR="008423E4" w:rsidRDefault="007E14B4" w:rsidP="004A3612">
            <w:pPr>
              <w:pStyle w:val="Header"/>
              <w:jc w:val="both"/>
            </w:pPr>
            <w:r>
              <w:t>It has been suggested that</w:t>
            </w:r>
            <w:r>
              <w:t xml:space="preserve"> the state </w:t>
            </w:r>
            <w:r>
              <w:t xml:space="preserve">should update and modernize </w:t>
            </w:r>
            <w:r>
              <w:t xml:space="preserve">existing firearms preemption statutes to ensure more </w:t>
            </w:r>
            <w:r>
              <w:t>uniform treatment of firearms and ammunition across various jurisdictions</w:t>
            </w:r>
            <w:r>
              <w:t xml:space="preserve"> and provide adequate means of </w:t>
            </w:r>
            <w:r>
              <w:t>enforc</w:t>
            </w:r>
            <w:r>
              <w:t>ing</w:t>
            </w:r>
            <w:r>
              <w:t xml:space="preserve"> these protections</w:t>
            </w:r>
            <w:r>
              <w:t>.</w:t>
            </w:r>
            <w:r>
              <w:t xml:space="preserve"> </w:t>
            </w:r>
            <w:r>
              <w:t>H.B. 3231 seeks to do so</w:t>
            </w:r>
            <w:r>
              <w:t xml:space="preserve"> by </w:t>
            </w:r>
            <w:r>
              <w:t>more closely aligning</w:t>
            </w:r>
            <w:r>
              <w:t xml:space="preserve"> limitations on municipal and county regulatory authority</w:t>
            </w:r>
            <w:r>
              <w:t>,</w:t>
            </w:r>
            <w:r>
              <w:t xml:space="preserve"> expanding the s</w:t>
            </w:r>
            <w:r>
              <w:t xml:space="preserve">cope of those limitations, </w:t>
            </w:r>
            <w:r>
              <w:t>and</w:t>
            </w:r>
            <w:r>
              <w:t xml:space="preserve"> </w:t>
            </w:r>
            <w:r w:rsidRPr="0003247B">
              <w:t>provid</w:t>
            </w:r>
            <w:r>
              <w:t>ing</w:t>
            </w:r>
            <w:r w:rsidRPr="0003247B">
              <w:t xml:space="preserve"> for a civil remedy for a person adversely affected by a municipality's or c</w:t>
            </w:r>
            <w:r>
              <w:t>ounty's actions violating such a limitation</w:t>
            </w:r>
            <w:r>
              <w:t>.</w:t>
            </w:r>
          </w:p>
          <w:p w:rsidR="004A3612" w:rsidRPr="00E26B13" w:rsidRDefault="007E14B4" w:rsidP="004A3612">
            <w:pPr>
              <w:pStyle w:val="Header"/>
              <w:jc w:val="both"/>
              <w:rPr>
                <w:b/>
              </w:rPr>
            </w:pPr>
          </w:p>
        </w:tc>
      </w:tr>
      <w:tr w:rsidR="00382377" w:rsidTr="00345119">
        <w:tc>
          <w:tcPr>
            <w:tcW w:w="9576" w:type="dxa"/>
          </w:tcPr>
          <w:p w:rsidR="0017725B" w:rsidRDefault="007E14B4" w:rsidP="004A36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E14B4" w:rsidP="004A3612">
            <w:pPr>
              <w:rPr>
                <w:b/>
                <w:u w:val="single"/>
              </w:rPr>
            </w:pPr>
          </w:p>
          <w:p w:rsidR="00E94F76" w:rsidRPr="00E94F76" w:rsidRDefault="007E14B4" w:rsidP="004A3612">
            <w:pPr>
              <w:jc w:val="both"/>
            </w:pPr>
            <w:r>
              <w:t>It is the committee's opinion that this bill does not expressly crea</w:t>
            </w:r>
            <w:r>
              <w:t>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E14B4" w:rsidP="004A3612">
            <w:pPr>
              <w:rPr>
                <w:b/>
                <w:u w:val="single"/>
              </w:rPr>
            </w:pPr>
          </w:p>
        </w:tc>
      </w:tr>
      <w:tr w:rsidR="00382377" w:rsidTr="00345119">
        <w:tc>
          <w:tcPr>
            <w:tcW w:w="9576" w:type="dxa"/>
          </w:tcPr>
          <w:p w:rsidR="008423E4" w:rsidRPr="00A8133F" w:rsidRDefault="007E14B4" w:rsidP="004A361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E14B4" w:rsidP="004A3612"/>
          <w:p w:rsidR="00E94F76" w:rsidRDefault="007E14B4" w:rsidP="004A36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7E14B4" w:rsidP="004A3612">
            <w:pPr>
              <w:rPr>
                <w:b/>
              </w:rPr>
            </w:pPr>
          </w:p>
        </w:tc>
      </w:tr>
      <w:tr w:rsidR="00382377" w:rsidTr="00345119">
        <w:tc>
          <w:tcPr>
            <w:tcW w:w="9576" w:type="dxa"/>
          </w:tcPr>
          <w:p w:rsidR="008423E4" w:rsidRPr="00A8133F" w:rsidRDefault="007E14B4" w:rsidP="004A361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E14B4" w:rsidP="004A3612"/>
          <w:p w:rsidR="00FB086B" w:rsidRDefault="007E14B4" w:rsidP="004A36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3231 amends the Local Government Code to revise </w:t>
            </w:r>
            <w:r>
              <w:t>the prohibition</w:t>
            </w:r>
            <w:r>
              <w:t>s</w:t>
            </w:r>
            <w:r>
              <w:t xml:space="preserve"> against a municipality </w:t>
            </w:r>
            <w:r>
              <w:t xml:space="preserve">or county </w:t>
            </w:r>
            <w:r>
              <w:t xml:space="preserve">adopting regulations relating to </w:t>
            </w:r>
            <w:r w:rsidRPr="00DC2829">
              <w:t>the transfer, private ownership, keeping, transportation, licensing, or registration of firearms, air guns, knives, ammunition, or firearm or air gun supplies</w:t>
            </w:r>
            <w:r>
              <w:t xml:space="preserve"> </w:t>
            </w:r>
            <w:r>
              <w:t>or the discharge of a firearm or air gun at a sport shooting ran</w:t>
            </w:r>
            <w:r>
              <w:t xml:space="preserve">ge </w:t>
            </w:r>
            <w:r>
              <w:t>by:</w:t>
            </w:r>
            <w:r>
              <w:t xml:space="preserve"> </w:t>
            </w:r>
          </w:p>
          <w:p w:rsidR="00FB086B" w:rsidRDefault="007E14B4" w:rsidP="004A361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removing language limiting the ownership subject to that prohibition to private ownership;</w:t>
            </w:r>
          </w:p>
          <w:p w:rsidR="00FB086B" w:rsidRDefault="007E14B4" w:rsidP="004A361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replacing keeping such an item with storing such an item as an action subject to the prohibition; and</w:t>
            </w:r>
          </w:p>
          <w:p w:rsidR="000A7306" w:rsidRDefault="007E14B4" w:rsidP="004A3612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expanding the scope of the prohibition </w:t>
            </w:r>
            <w:r>
              <w:t>to include</w:t>
            </w:r>
            <w:r>
              <w:t>:</w:t>
            </w:r>
            <w:r>
              <w:t xml:space="preserve"> </w:t>
            </w:r>
          </w:p>
          <w:p w:rsidR="000A7306" w:rsidRDefault="007E14B4" w:rsidP="004A3612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reg</w:t>
            </w:r>
            <w:r>
              <w:t>ulations relating to the possession</w:t>
            </w:r>
            <w:r>
              <w:t xml:space="preserve"> or carrying </w:t>
            </w:r>
            <w:r>
              <w:t>of such an item;</w:t>
            </w:r>
          </w:p>
          <w:p w:rsidR="000A7306" w:rsidRDefault="007E14B4" w:rsidP="004A3612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regulations </w:t>
            </w:r>
            <w:r>
              <w:t xml:space="preserve">relating to </w:t>
            </w:r>
            <w:r>
              <w:t xml:space="preserve">transferring, possessing, carrying, owning, storing, transporting, licensing, or registering </w:t>
            </w:r>
            <w:r>
              <w:t>firearm or air gun accessories</w:t>
            </w:r>
            <w:r>
              <w:t>; and</w:t>
            </w:r>
          </w:p>
          <w:p w:rsidR="00DC2829" w:rsidRDefault="007E14B4" w:rsidP="004A3612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regulations relating to </w:t>
            </w:r>
            <w:r w:rsidRPr="000A7306">
              <w:t xml:space="preserve">commerce in </w:t>
            </w:r>
            <w:r w:rsidRPr="000A7306">
              <w:t>firearms, air guns, knives, ammunition, or firearm or air gun supplies or accessories</w:t>
            </w:r>
            <w:r>
              <w:t>.</w:t>
            </w:r>
          </w:p>
          <w:p w:rsidR="00333F41" w:rsidRDefault="007E14B4" w:rsidP="004A36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53196" w:rsidRDefault="007E14B4" w:rsidP="004A36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3231</w:t>
            </w:r>
            <w:r>
              <w:t xml:space="preserve"> </w:t>
            </w:r>
            <w:r>
              <w:t>extends that prohibition to the enforcement of such a regulation by a county. The bill</w:t>
            </w:r>
            <w:r>
              <w:t xml:space="preserve"> </w:t>
            </w:r>
            <w:r>
              <w:t>void</w:t>
            </w:r>
            <w:r>
              <w:t>s</w:t>
            </w:r>
            <w:r>
              <w:t xml:space="preserve"> </w:t>
            </w:r>
            <w:r>
              <w:t xml:space="preserve">an ordinance, </w:t>
            </w:r>
            <w:r w:rsidRPr="008D3F4F">
              <w:t xml:space="preserve">resolution, rule, or policy adopted or enforced by </w:t>
            </w:r>
            <w:r w:rsidRPr="008D3F4F">
              <w:t>a munic</w:t>
            </w:r>
            <w:r>
              <w:t>ipality</w:t>
            </w:r>
            <w:r>
              <w:t xml:space="preserve"> or county, as applicable</w:t>
            </w:r>
            <w:r>
              <w:t>, or an official action</w:t>
            </w:r>
            <w:r w:rsidRPr="008D3F4F">
              <w:t xml:space="preserve"> taken by an employee or agent of</w:t>
            </w:r>
            <w:r>
              <w:t xml:space="preserve"> a municipality</w:t>
            </w:r>
            <w:r>
              <w:t xml:space="preserve"> or county, as applicable,</w:t>
            </w:r>
            <w:r>
              <w:t xml:space="preserve"> </w:t>
            </w:r>
            <w:r>
              <w:t>in violation of the prohibition</w:t>
            </w:r>
            <w:r>
              <w:t xml:space="preserve">. </w:t>
            </w:r>
          </w:p>
          <w:p w:rsidR="00B53196" w:rsidRDefault="007E14B4" w:rsidP="004A36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A3612" w:rsidRDefault="007E14B4" w:rsidP="004A36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476F3" w:rsidRDefault="007E14B4" w:rsidP="004A36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3231</w:t>
            </w:r>
            <w:r>
              <w:t xml:space="preserve"> </w:t>
            </w:r>
            <w:r>
              <w:t xml:space="preserve">includes the following among the exceptions to that prohibition as it </w:t>
            </w:r>
            <w:r>
              <w:t>relates to municipal regulatory actions</w:t>
            </w:r>
            <w:r>
              <w:t xml:space="preserve">: </w:t>
            </w:r>
          </w:p>
          <w:p w:rsidR="00E476F3" w:rsidRDefault="007E14B4" w:rsidP="004A361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E476F3">
              <w:t>adopt</w:t>
            </w:r>
            <w:r>
              <w:t>ing</w:t>
            </w:r>
            <w:r w:rsidRPr="00E476F3">
              <w:t xml:space="preserve"> or enforc</w:t>
            </w:r>
            <w:r>
              <w:t>ing</w:t>
            </w:r>
            <w:r w:rsidRPr="00E476F3">
              <w:t xml:space="preserve"> a generally applicable zoning ordinance, land use regulation, fire code, or business ordinance</w:t>
            </w:r>
            <w:r>
              <w:t>, except with regard to an</w:t>
            </w:r>
            <w:r w:rsidRPr="00E476F3">
              <w:t xml:space="preserve"> ordinance or regulation designed or enforced to effectively restrict or</w:t>
            </w:r>
            <w:r w:rsidRPr="00E476F3">
              <w:t xml:space="preserve"> prohibit the manufacture, sale, purchase, transfer, or display of firearms, firearm accessories, or ammunition that is otherwise lawful in </w:t>
            </w:r>
            <w:r>
              <w:t>Texas;</w:t>
            </w:r>
          </w:p>
          <w:p w:rsidR="00E476F3" w:rsidRDefault="007E14B4" w:rsidP="004A361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regulat</w:t>
            </w:r>
            <w:r>
              <w:t>ing</w:t>
            </w:r>
            <w:r>
              <w:t xml:space="preserve"> </w:t>
            </w:r>
            <w:r w:rsidRPr="008D3F4F">
              <w:t>the carrying of a firearm by a perso</w:t>
            </w:r>
            <w:r>
              <w:t>n licensed to carry a handgun;</w:t>
            </w:r>
            <w:r>
              <w:t xml:space="preserve"> and </w:t>
            </w:r>
          </w:p>
          <w:p w:rsidR="00E476F3" w:rsidRDefault="007E14B4" w:rsidP="004A3612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regulat</w:t>
            </w:r>
            <w:r>
              <w:t>ing</w:t>
            </w:r>
            <w:r>
              <w:t xml:space="preserve"> or prohibit</w:t>
            </w:r>
            <w:r>
              <w:t>ing</w:t>
            </w:r>
            <w:r>
              <w:t xml:space="preserve"> </w:t>
            </w:r>
            <w:r>
              <w:t>an employee's carrying or possession of a firearm, firearm accessory, or ammunition in the course of the employee's official duties.</w:t>
            </w:r>
            <w:r>
              <w:t xml:space="preserve"> </w:t>
            </w:r>
          </w:p>
          <w:p w:rsidR="00B2142A" w:rsidRDefault="007E14B4" w:rsidP="004A36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exception for the regulation of an employee's carrying or possession of a firearm does not authorize a municipality to</w:t>
            </w:r>
            <w:r>
              <w:t xml:space="preserve"> regulate an employee's carrying or possession of a firearm in violation of Labor Code provisions relating to </w:t>
            </w:r>
            <w:r w:rsidRPr="00E476F3">
              <w:t>restrictions on prohibiting employee transportation or storage of certain firearms or ammunition</w:t>
            </w:r>
            <w:r>
              <w:t xml:space="preserve">. </w:t>
            </w:r>
            <w:r>
              <w:t>The bill specifies that a municipality's authori</w:t>
            </w:r>
            <w:r>
              <w:t xml:space="preserve">ty to </w:t>
            </w:r>
            <w:r w:rsidRPr="00372F7E">
              <w:t xml:space="preserve">regulate the use of firearms, air guns, or knives in the case of an insurrection, riot, or natural disaster if </w:t>
            </w:r>
            <w:r>
              <w:t>it</w:t>
            </w:r>
            <w:r w:rsidRPr="00372F7E">
              <w:t xml:space="preserve"> finds the regulations necessary to protect public health and safety</w:t>
            </w:r>
            <w:r>
              <w:t xml:space="preserve"> does not authorize the seizure or confiscation of </w:t>
            </w:r>
            <w:r w:rsidRPr="00372F7E">
              <w:t>firearm or air gun</w:t>
            </w:r>
            <w:r w:rsidRPr="00372F7E">
              <w:t xml:space="preserve"> supplies or accessories</w:t>
            </w:r>
            <w:r>
              <w:t xml:space="preserve"> from an individual who is lawfully carrying or possessing the supplies or accessories</w:t>
            </w:r>
            <w:r>
              <w:t xml:space="preserve">. </w:t>
            </w:r>
          </w:p>
          <w:p w:rsidR="00B53196" w:rsidRDefault="007E14B4" w:rsidP="004A36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53196" w:rsidRDefault="007E14B4" w:rsidP="004A36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3231 excepts </w:t>
            </w:r>
            <w:r>
              <w:t>the following</w:t>
            </w:r>
            <w:r>
              <w:t xml:space="preserve"> actions </w:t>
            </w:r>
            <w:r>
              <w:t>from the prohibition regarding</w:t>
            </w:r>
            <w:r>
              <w:t xml:space="preserve"> county </w:t>
            </w:r>
            <w:r>
              <w:t>regulatory actions</w:t>
            </w:r>
            <w:r>
              <w:t>:</w:t>
            </w:r>
          </w:p>
          <w:p w:rsidR="00BE45A3" w:rsidRDefault="007E14B4" w:rsidP="004A361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requiring a resident or public employee to b</w:t>
            </w:r>
            <w:r>
              <w:t>e armed for personal or national defense, law enforcement, or other purpose under other law;</w:t>
            </w:r>
          </w:p>
          <w:p w:rsidR="00BE45A3" w:rsidRDefault="007E14B4" w:rsidP="004A361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regulating the discharge of firearms or air guns;</w:t>
            </w:r>
          </w:p>
          <w:p w:rsidR="00BE45A3" w:rsidRDefault="007E14B4" w:rsidP="004A361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regulating the carrying of a firearm by a person licensed to carry a handgun;</w:t>
            </w:r>
          </w:p>
          <w:p w:rsidR="00BE45A3" w:rsidRDefault="007E14B4" w:rsidP="004A361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adopting or enforcing a generally a</w:t>
            </w:r>
            <w:r>
              <w:t>pplicable land use regulation, fire code, or business regulation; or</w:t>
            </w:r>
          </w:p>
          <w:p w:rsidR="00BE45A3" w:rsidRDefault="007E14B4" w:rsidP="004A3612">
            <w:pPr>
              <w:pStyle w:val="Header"/>
              <w:numPr>
                <w:ilvl w:val="0"/>
                <w:numId w:val="1"/>
              </w:numPr>
              <w:jc w:val="both"/>
            </w:pPr>
            <w:r>
              <w:t>regulating or prohibit</w:t>
            </w:r>
            <w:r>
              <w:t>ing</w:t>
            </w:r>
            <w:r>
              <w:t xml:space="preserve"> an employee's carrying or possession of a firearm, firearm accessory, or ammunition in the course of the employee's official duties.</w:t>
            </w:r>
          </w:p>
          <w:p w:rsidR="009D7DBB" w:rsidRDefault="007E14B4" w:rsidP="004A36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7E14B4" w:rsidP="004A36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3231</w:t>
            </w:r>
            <w:r>
              <w:t xml:space="preserve"> void</w:t>
            </w:r>
            <w:r>
              <w:t>s</w:t>
            </w:r>
            <w:r>
              <w:t xml:space="preserve"> </w:t>
            </w:r>
            <w:r>
              <w:t xml:space="preserve">a county order or regulation </w:t>
            </w:r>
            <w:r w:rsidRPr="00BE45A3">
              <w:t xml:space="preserve">designed or enforced to effectively restrict or prohibit the manufacture, sale, purchase, transfer, or display of firearms, firearm accessories, or ammunition that is otherwise lawful in </w:t>
            </w:r>
            <w:r>
              <w:t>Texas</w:t>
            </w:r>
            <w:r w:rsidRPr="00BE45A3">
              <w:t>.</w:t>
            </w:r>
            <w:r>
              <w:t xml:space="preserve"> </w:t>
            </w:r>
            <w:r w:rsidRPr="00D945D4">
              <w:t xml:space="preserve">The exception for the regulation of an employee's carrying or possession of a firearm expressly does not authorize a county to regulate an employee's carrying or possession of a firearm in violation of Labor Code provisions relating to </w:t>
            </w:r>
            <w:r w:rsidRPr="009D7DBB">
              <w:t>restrictions on proh</w:t>
            </w:r>
            <w:r w:rsidRPr="009D7DBB">
              <w:t>ibiting employee transportation or storage of certain firearms or ammunition</w:t>
            </w:r>
            <w:r w:rsidRPr="00D945D4">
              <w:t>.</w:t>
            </w:r>
            <w:r>
              <w:t xml:space="preserve"> The </w:t>
            </w:r>
            <w:r>
              <w:t xml:space="preserve">bill </w:t>
            </w:r>
            <w:r>
              <w:t>provides for a civil remedy for</w:t>
            </w:r>
            <w:r>
              <w:t xml:space="preserve"> a person adversely affected by a </w:t>
            </w:r>
            <w:r>
              <w:t xml:space="preserve">municipality's </w:t>
            </w:r>
            <w:r>
              <w:t xml:space="preserve">or </w:t>
            </w:r>
            <w:r>
              <w:t>county's</w:t>
            </w:r>
            <w:r>
              <w:t xml:space="preserve"> violation of </w:t>
            </w:r>
            <w:r>
              <w:t xml:space="preserve">provisions restricting </w:t>
            </w:r>
            <w:r>
              <w:t xml:space="preserve">the </w:t>
            </w:r>
            <w:r>
              <w:t xml:space="preserve">entity's </w:t>
            </w:r>
            <w:r>
              <w:t>authority to regulate</w:t>
            </w:r>
            <w:r w:rsidRPr="009D7DBB">
              <w:t xml:space="preserve"> firear</w:t>
            </w:r>
            <w:r w:rsidRPr="009D7DBB">
              <w:t>ms, knives, ammunition, firearm supplies, and sport shooting ranges</w:t>
            </w:r>
            <w:r>
              <w:t>.</w:t>
            </w:r>
            <w:r>
              <w:t xml:space="preserve"> </w:t>
            </w:r>
          </w:p>
          <w:p w:rsidR="004D5990" w:rsidRPr="00835628" w:rsidRDefault="007E14B4" w:rsidP="004A361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82377" w:rsidTr="00345119">
        <w:tc>
          <w:tcPr>
            <w:tcW w:w="9576" w:type="dxa"/>
          </w:tcPr>
          <w:p w:rsidR="008423E4" w:rsidRPr="00A8133F" w:rsidRDefault="007E14B4" w:rsidP="004A361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E14B4" w:rsidP="004A3612"/>
          <w:p w:rsidR="008423E4" w:rsidRPr="003624F2" w:rsidRDefault="007E14B4" w:rsidP="004A36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E14B4" w:rsidP="004A3612">
            <w:pPr>
              <w:rPr>
                <w:b/>
              </w:rPr>
            </w:pPr>
          </w:p>
        </w:tc>
      </w:tr>
    </w:tbl>
    <w:p w:rsidR="008423E4" w:rsidRPr="00BE0E75" w:rsidRDefault="007E14B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E14B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E14B4">
      <w:r>
        <w:separator/>
      </w:r>
    </w:p>
  </w:endnote>
  <w:endnote w:type="continuationSeparator" w:id="0">
    <w:p w:rsidR="00000000" w:rsidRDefault="007E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14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82377" w:rsidTr="009C1E9A">
      <w:trPr>
        <w:cantSplit/>
      </w:trPr>
      <w:tc>
        <w:tcPr>
          <w:tcW w:w="0" w:type="pct"/>
        </w:tcPr>
        <w:p w:rsidR="00137D90" w:rsidRDefault="007E14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E14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E14B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E14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E14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2377" w:rsidTr="009C1E9A">
      <w:trPr>
        <w:cantSplit/>
      </w:trPr>
      <w:tc>
        <w:tcPr>
          <w:tcW w:w="0" w:type="pct"/>
        </w:tcPr>
        <w:p w:rsidR="00EC379B" w:rsidRDefault="007E14B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E14B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23293</w:t>
          </w:r>
        </w:p>
      </w:tc>
      <w:tc>
        <w:tcPr>
          <w:tcW w:w="2453" w:type="pct"/>
        </w:tcPr>
        <w:p w:rsidR="00EC379B" w:rsidRDefault="007E14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19.90.508</w:t>
          </w:r>
          <w:r>
            <w:fldChar w:fldCharType="end"/>
          </w:r>
        </w:p>
      </w:tc>
    </w:tr>
    <w:tr w:rsidR="00382377" w:rsidTr="009C1E9A">
      <w:trPr>
        <w:cantSplit/>
      </w:trPr>
      <w:tc>
        <w:tcPr>
          <w:tcW w:w="0" w:type="pct"/>
        </w:tcPr>
        <w:p w:rsidR="00EC379B" w:rsidRDefault="007E14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E14B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E14B4" w:rsidP="006D504F">
          <w:pPr>
            <w:pStyle w:val="Footer"/>
            <w:rPr>
              <w:rStyle w:val="PageNumber"/>
            </w:rPr>
          </w:pPr>
        </w:p>
        <w:p w:rsidR="00EC379B" w:rsidRDefault="007E14B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8237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E14B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E14B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E14B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14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E14B4">
      <w:r>
        <w:separator/>
      </w:r>
    </w:p>
  </w:footnote>
  <w:footnote w:type="continuationSeparator" w:id="0">
    <w:p w:rsidR="00000000" w:rsidRDefault="007E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14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14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E1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2B8"/>
    <w:multiLevelType w:val="hybridMultilevel"/>
    <w:tmpl w:val="199E3FA6"/>
    <w:lvl w:ilvl="0" w:tplc="EC7AA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AE5D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4E7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2C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E5F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0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CB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489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82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75A30"/>
    <w:multiLevelType w:val="hybridMultilevel"/>
    <w:tmpl w:val="7F4ADBFE"/>
    <w:lvl w:ilvl="0" w:tplc="1AA6C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6C1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B007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EC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82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8AB4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A5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A64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3C96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D3707"/>
    <w:multiLevelType w:val="hybridMultilevel"/>
    <w:tmpl w:val="829888A6"/>
    <w:lvl w:ilvl="0" w:tplc="95F07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6B4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5CB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8E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0E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C6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247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44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1A0B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7"/>
    <w:rsid w:val="00382377"/>
    <w:rsid w:val="007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68C79E-1EBE-448C-A648-B099E866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945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4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945D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4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4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4592</Characters>
  <Application>Microsoft Office Word</Application>
  <DocSecurity>4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HB03231 (Committee Report (Unamended))</vt:lpstr>
    </vt:vector>
  </TitlesOfParts>
  <Company>State of Texas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23293</dc:subject>
  <dc:creator>State of Texas</dc:creator>
  <dc:description>HB 3231 by Clardy-(H)Homeland Security &amp; Public Safety</dc:description>
  <cp:lastModifiedBy>Stacey Nicchio</cp:lastModifiedBy>
  <cp:revision>2</cp:revision>
  <cp:lastPrinted>2003-11-26T17:21:00Z</cp:lastPrinted>
  <dcterms:created xsi:type="dcterms:W3CDTF">2019-04-16T21:42:00Z</dcterms:created>
  <dcterms:modified xsi:type="dcterms:W3CDTF">2019-04-16T21:42:00Z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19.90.508</vt:lpwstr>
  </property>
</Properties>
</file>