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38D8" w:rsidTr="00345119">
        <w:tc>
          <w:tcPr>
            <w:tcW w:w="9576" w:type="dxa"/>
            <w:noWrap/>
          </w:tcPr>
          <w:p w:rsidR="008423E4" w:rsidRPr="006B4B73" w:rsidRDefault="00796E41" w:rsidP="00345119">
            <w:pPr>
              <w:pStyle w:val="Heading1"/>
            </w:pPr>
            <w:bookmarkStart w:id="0" w:name="_GoBack"/>
            <w:bookmarkEnd w:id="0"/>
            <w:r w:rsidRPr="006B4B73">
              <w:t>BILL ANALYSIS</w:t>
            </w:r>
          </w:p>
        </w:tc>
      </w:tr>
    </w:tbl>
    <w:p w:rsidR="008423E4" w:rsidRPr="006B4B73" w:rsidRDefault="00796E41" w:rsidP="008423E4">
      <w:pPr>
        <w:jc w:val="center"/>
      </w:pPr>
    </w:p>
    <w:p w:rsidR="008423E4" w:rsidRPr="006B4B73" w:rsidRDefault="00796E41" w:rsidP="008423E4"/>
    <w:p w:rsidR="008423E4" w:rsidRPr="006B4B73" w:rsidRDefault="00796E4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38D8" w:rsidTr="00345119">
        <w:tc>
          <w:tcPr>
            <w:tcW w:w="9576" w:type="dxa"/>
          </w:tcPr>
          <w:p w:rsidR="008423E4" w:rsidRPr="006B4B73" w:rsidRDefault="00796E41" w:rsidP="00345119">
            <w:pPr>
              <w:jc w:val="right"/>
            </w:pPr>
            <w:r>
              <w:t>C.S.H.B. 3233</w:t>
            </w:r>
          </w:p>
        </w:tc>
      </w:tr>
      <w:tr w:rsidR="00E538D8" w:rsidTr="00345119">
        <w:tc>
          <w:tcPr>
            <w:tcW w:w="9576" w:type="dxa"/>
          </w:tcPr>
          <w:p w:rsidR="008423E4" w:rsidRPr="006B4B73" w:rsidRDefault="00796E41" w:rsidP="002D43AB">
            <w:pPr>
              <w:jc w:val="right"/>
            </w:pPr>
            <w:r w:rsidRPr="006B4B73">
              <w:t xml:space="preserve">By: </w:t>
            </w:r>
            <w:r>
              <w:t>Klick</w:t>
            </w:r>
          </w:p>
        </w:tc>
      </w:tr>
      <w:tr w:rsidR="00E538D8" w:rsidTr="00345119">
        <w:tc>
          <w:tcPr>
            <w:tcW w:w="9576" w:type="dxa"/>
          </w:tcPr>
          <w:p w:rsidR="008423E4" w:rsidRPr="006B4B73" w:rsidRDefault="00796E41" w:rsidP="00345119">
            <w:pPr>
              <w:jc w:val="right"/>
            </w:pPr>
            <w:r>
              <w:t>Elections</w:t>
            </w:r>
          </w:p>
        </w:tc>
      </w:tr>
      <w:tr w:rsidR="00E538D8" w:rsidTr="00345119">
        <w:tc>
          <w:tcPr>
            <w:tcW w:w="9576" w:type="dxa"/>
          </w:tcPr>
          <w:p w:rsidR="008423E4" w:rsidRPr="006B4B73" w:rsidRDefault="00796E41" w:rsidP="001E23DA">
            <w:pPr>
              <w:jc w:val="right"/>
            </w:pPr>
            <w:r>
              <w:t>Committee Report (Substituted)</w:t>
            </w:r>
          </w:p>
        </w:tc>
      </w:tr>
    </w:tbl>
    <w:p w:rsidR="008423E4" w:rsidRPr="006B4B73" w:rsidRDefault="00796E41" w:rsidP="008423E4">
      <w:pPr>
        <w:tabs>
          <w:tab w:val="right" w:pos="9360"/>
        </w:tabs>
      </w:pPr>
    </w:p>
    <w:p w:rsidR="008423E4" w:rsidRPr="006B4B73" w:rsidRDefault="00796E41" w:rsidP="008423E4"/>
    <w:p w:rsidR="008423E4" w:rsidRPr="006B4B73" w:rsidRDefault="00796E4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38D8" w:rsidTr="00345119">
        <w:tc>
          <w:tcPr>
            <w:tcW w:w="9576" w:type="dxa"/>
          </w:tcPr>
          <w:p w:rsidR="008423E4" w:rsidRPr="006B4B73" w:rsidRDefault="00796E41" w:rsidP="007D668D">
            <w:pPr>
              <w:rPr>
                <w:b/>
              </w:rPr>
            </w:pPr>
            <w:r w:rsidRPr="006B4B73">
              <w:rPr>
                <w:b/>
                <w:u w:val="single"/>
              </w:rPr>
              <w:t>BACKGROUND AND PURPOSE</w:t>
            </w:r>
            <w:r w:rsidRPr="006B4B73">
              <w:rPr>
                <w:b/>
              </w:rPr>
              <w:t xml:space="preserve"> </w:t>
            </w:r>
          </w:p>
          <w:p w:rsidR="008423E4" w:rsidRPr="006B4B73" w:rsidRDefault="00796E41" w:rsidP="007D668D"/>
          <w:p w:rsidR="008423E4" w:rsidRPr="006B4B73" w:rsidRDefault="00796E41" w:rsidP="007D66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 w:rsidRPr="006C61A4">
              <w:t>note</w:t>
            </w:r>
            <w:r>
              <w:t>d</w:t>
            </w:r>
            <w:r w:rsidRPr="006C61A4">
              <w:t xml:space="preserve"> that </w:t>
            </w:r>
            <w:r>
              <w:t xml:space="preserve">certain provisions of </w:t>
            </w:r>
            <w:r w:rsidRPr="006C61A4">
              <w:t xml:space="preserve">the </w:t>
            </w:r>
            <w:r w:rsidRPr="002E5F54">
              <w:t xml:space="preserve">Judicial Campaign Fairness Act </w:t>
            </w:r>
            <w:r w:rsidRPr="006C61A4">
              <w:t>are out</w:t>
            </w:r>
            <w:r>
              <w:t xml:space="preserve"> </w:t>
            </w:r>
            <w:r w:rsidRPr="006C61A4">
              <w:t>of</w:t>
            </w:r>
            <w:r>
              <w:t xml:space="preserve"> </w:t>
            </w:r>
            <w:r w:rsidRPr="006C61A4">
              <w:t>date and</w:t>
            </w:r>
            <w:r>
              <w:t xml:space="preserve"> in</w:t>
            </w:r>
            <w:r w:rsidRPr="006C61A4">
              <w:t xml:space="preserve"> need </w:t>
            </w:r>
            <w:r>
              <w:t>of updating.</w:t>
            </w:r>
            <w:r w:rsidRPr="006C61A4">
              <w:t xml:space="preserve"> </w:t>
            </w:r>
            <w:r>
              <w:t>C.S.</w:t>
            </w:r>
            <w:r w:rsidRPr="006C61A4">
              <w:t>H</w:t>
            </w:r>
            <w:r>
              <w:t>.</w:t>
            </w:r>
            <w:r w:rsidRPr="006C61A4">
              <w:t>B</w:t>
            </w:r>
            <w:r>
              <w:t>.</w:t>
            </w:r>
            <w:r w:rsidRPr="006C61A4">
              <w:t xml:space="preserve"> 3233 seeks to </w:t>
            </w:r>
            <w:r>
              <w:t>revise and update those provisions regarding</w:t>
            </w:r>
            <w:r w:rsidRPr="006C61A4">
              <w:t>, among other things</w:t>
            </w:r>
            <w:r>
              <w:t xml:space="preserve">, </w:t>
            </w:r>
            <w:r>
              <w:t xml:space="preserve">certain </w:t>
            </w:r>
            <w:r w:rsidRPr="006B4B73">
              <w:t>contribution</w:t>
            </w:r>
            <w:r>
              <w:t xml:space="preserve"> </w:t>
            </w:r>
            <w:r w:rsidRPr="006B4B73">
              <w:t>and expenditure</w:t>
            </w:r>
            <w:r>
              <w:t xml:space="preserve"> limits for judicial candidates</w:t>
            </w:r>
            <w:r>
              <w:t>.</w:t>
            </w:r>
          </w:p>
          <w:p w:rsidR="008423E4" w:rsidRPr="006B4B73" w:rsidRDefault="00796E41" w:rsidP="007D668D">
            <w:pPr>
              <w:rPr>
                <w:b/>
              </w:rPr>
            </w:pPr>
          </w:p>
        </w:tc>
      </w:tr>
      <w:tr w:rsidR="00E538D8" w:rsidTr="00345119">
        <w:tc>
          <w:tcPr>
            <w:tcW w:w="9576" w:type="dxa"/>
          </w:tcPr>
          <w:p w:rsidR="0017725B" w:rsidRPr="006B4B73" w:rsidRDefault="00796E41" w:rsidP="007D668D">
            <w:pPr>
              <w:rPr>
                <w:b/>
                <w:u w:val="single"/>
              </w:rPr>
            </w:pPr>
            <w:r w:rsidRPr="006B4B73">
              <w:rPr>
                <w:b/>
                <w:u w:val="single"/>
              </w:rPr>
              <w:t>CRIMINAL JUSTICE IMPACT</w:t>
            </w:r>
          </w:p>
          <w:p w:rsidR="0017725B" w:rsidRPr="006B4B73" w:rsidRDefault="00796E41" w:rsidP="007D668D">
            <w:pPr>
              <w:rPr>
                <w:b/>
                <w:u w:val="single"/>
              </w:rPr>
            </w:pPr>
          </w:p>
          <w:p w:rsidR="00662F45" w:rsidRPr="006B4B73" w:rsidRDefault="00796E41" w:rsidP="007D668D">
            <w:pPr>
              <w:jc w:val="both"/>
            </w:pPr>
            <w:r w:rsidRPr="006B4B73">
              <w:t xml:space="preserve">It is the committee's opinion that this bill does not expressly create a </w:t>
            </w:r>
            <w:r w:rsidRPr="006B4B73"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6B4B73" w:rsidRDefault="00796E41" w:rsidP="007D668D">
            <w:pPr>
              <w:rPr>
                <w:b/>
                <w:u w:val="single"/>
              </w:rPr>
            </w:pPr>
          </w:p>
        </w:tc>
      </w:tr>
      <w:tr w:rsidR="00E538D8" w:rsidTr="00345119">
        <w:tc>
          <w:tcPr>
            <w:tcW w:w="9576" w:type="dxa"/>
          </w:tcPr>
          <w:p w:rsidR="008423E4" w:rsidRPr="006B4B73" w:rsidRDefault="00796E41" w:rsidP="007D668D">
            <w:pPr>
              <w:rPr>
                <w:b/>
              </w:rPr>
            </w:pPr>
            <w:r w:rsidRPr="006B4B73">
              <w:rPr>
                <w:b/>
                <w:u w:val="single"/>
              </w:rPr>
              <w:t>RULEMAKING AUTHORITY</w:t>
            </w:r>
            <w:r w:rsidRPr="006B4B73">
              <w:rPr>
                <w:b/>
              </w:rPr>
              <w:t xml:space="preserve"> </w:t>
            </w:r>
          </w:p>
          <w:p w:rsidR="008423E4" w:rsidRPr="006B4B73" w:rsidRDefault="00796E41" w:rsidP="007D668D"/>
          <w:p w:rsidR="00662F45" w:rsidRPr="006B4B73" w:rsidRDefault="00796E41" w:rsidP="007D66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B4B73">
              <w:t xml:space="preserve">It is the committee's opinion </w:t>
            </w:r>
            <w:r w:rsidRPr="006B4B73">
              <w:t>that this bill does not expressly grant any additional rulemaking authority to a state officer, department, agency, or institution.</w:t>
            </w:r>
          </w:p>
          <w:p w:rsidR="008423E4" w:rsidRPr="006B4B73" w:rsidRDefault="00796E41" w:rsidP="007D668D">
            <w:pPr>
              <w:rPr>
                <w:b/>
              </w:rPr>
            </w:pPr>
          </w:p>
        </w:tc>
      </w:tr>
      <w:tr w:rsidR="00E538D8" w:rsidTr="00345119">
        <w:tc>
          <w:tcPr>
            <w:tcW w:w="9576" w:type="dxa"/>
          </w:tcPr>
          <w:p w:rsidR="008423E4" w:rsidRPr="006B4B73" w:rsidRDefault="00796E41" w:rsidP="007D668D">
            <w:pPr>
              <w:rPr>
                <w:b/>
              </w:rPr>
            </w:pPr>
            <w:r w:rsidRPr="006B4B73">
              <w:rPr>
                <w:b/>
                <w:u w:val="single"/>
              </w:rPr>
              <w:t>ANALYSIS</w:t>
            </w:r>
            <w:r w:rsidRPr="006B4B73">
              <w:rPr>
                <w:b/>
              </w:rPr>
              <w:t xml:space="preserve"> </w:t>
            </w:r>
          </w:p>
          <w:p w:rsidR="008423E4" w:rsidRPr="006B4B73" w:rsidRDefault="00796E41" w:rsidP="007D668D"/>
          <w:p w:rsidR="00A26B46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6B4B73">
              <w:t xml:space="preserve">H.B. 3233 amends the Election Code to </w:t>
            </w:r>
            <w:r w:rsidRPr="006B4B73">
              <w:t xml:space="preserve">revise provisions </w:t>
            </w:r>
            <w:r w:rsidRPr="006B4B73">
              <w:t>regarding certain restrictions on contributions and</w:t>
            </w:r>
            <w:r w:rsidRPr="006B4B73">
              <w:t xml:space="preserve"> expenditures </w:t>
            </w:r>
            <w:r w:rsidRPr="006B4B73">
              <w:t>set out in</w:t>
            </w:r>
            <w:r w:rsidRPr="006B4B73">
              <w:t xml:space="preserve"> </w:t>
            </w:r>
            <w:r w:rsidRPr="006B4B73">
              <w:t>the Judicial Campaign Fairness Act</w:t>
            </w:r>
            <w:r w:rsidRPr="006B4B73">
              <w:t xml:space="preserve">. The bill, </w:t>
            </w:r>
            <w:r w:rsidRPr="006B4B73">
              <w:t xml:space="preserve">among other </w:t>
            </w:r>
            <w:r w:rsidRPr="006B4B73">
              <w:t>revisions:</w:t>
            </w:r>
          </w:p>
          <w:p w:rsidR="00E36A6A" w:rsidRPr="006B4B73" w:rsidRDefault="00796E41" w:rsidP="007D668D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6B4B73">
              <w:t>changes from officeholder contributions to political contributions the type of contribution that may be accepted by a person appointed to fill a vacancy in an off</w:t>
            </w:r>
            <w:r w:rsidRPr="006B4B73">
              <w:t>ice covered by that act who, at the time of appointment, does not hold another such office;</w:t>
            </w:r>
          </w:p>
          <w:p w:rsidR="00E36A6A" w:rsidRPr="006B4B73" w:rsidRDefault="00796E41" w:rsidP="007D668D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6B4B73">
              <w:t xml:space="preserve">replaces a specification that </w:t>
            </w:r>
            <w:r w:rsidRPr="006B4B73">
              <w:t xml:space="preserve">the applicable </w:t>
            </w:r>
            <w:r w:rsidRPr="006B4B73">
              <w:t xml:space="preserve">contribution limits </w:t>
            </w:r>
            <w:r w:rsidRPr="006B4B73">
              <w:t xml:space="preserve">with respect to a judicial candidate or officeholder </w:t>
            </w:r>
            <w:r w:rsidRPr="006B4B73">
              <w:t xml:space="preserve">are in connection with each election in which </w:t>
            </w:r>
            <w:r w:rsidRPr="006B4B73">
              <w:t xml:space="preserve">the person is involved with a specification that the </w:t>
            </w:r>
            <w:r w:rsidRPr="006B4B73">
              <w:t xml:space="preserve">applicable </w:t>
            </w:r>
            <w:r w:rsidRPr="006B4B73">
              <w:t>contribution limits are in connection with each election in which the judicial candidate's name appears on the ballot</w:t>
            </w:r>
            <w:r w:rsidRPr="006B4B73">
              <w:t>;</w:t>
            </w:r>
          </w:p>
          <w:p w:rsidR="00A26B46" w:rsidRPr="006B4B73" w:rsidRDefault="00796E41" w:rsidP="007D668D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6B4B73">
              <w:t>specifies</w:t>
            </w:r>
            <w:r w:rsidRPr="006B4B73">
              <w:t xml:space="preserve"> that</w:t>
            </w:r>
            <w:r w:rsidRPr="006B4B73">
              <w:t xml:space="preserve"> the definition of "judicial district"</w:t>
            </w:r>
            <w:r w:rsidRPr="006B4B73">
              <w:t xml:space="preserve"> applies also</w:t>
            </w:r>
            <w:r w:rsidRPr="006B4B73">
              <w:t xml:space="preserve"> to the </w:t>
            </w:r>
            <w:r w:rsidRPr="006B4B73">
              <w:t xml:space="preserve">territory from which a judicial candidate </w:t>
            </w:r>
            <w:r w:rsidRPr="006B4B73">
              <w:t xml:space="preserve">is </w:t>
            </w:r>
            <w:r w:rsidRPr="006B4B73">
              <w:t>appointed</w:t>
            </w:r>
            <w:r w:rsidRPr="006B4B73">
              <w:t>;</w:t>
            </w:r>
          </w:p>
          <w:p w:rsidR="000238B5" w:rsidRPr="006B4B73" w:rsidRDefault="00796E41" w:rsidP="007D668D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6B4B73">
              <w:t xml:space="preserve">defines "law firm group" as a law firm, a general-purpose committee established or controlled by the law firm or a member of the law firm, a member of the law firm, and the spouse of a member of the </w:t>
            </w:r>
            <w:r w:rsidRPr="006B4B73">
              <w:t>law firm</w:t>
            </w:r>
            <w:r w:rsidRPr="006B4B73">
              <w:t xml:space="preserve"> and </w:t>
            </w:r>
            <w:r w:rsidRPr="006B4B73">
              <w:t>sets out definitions for "law firm" and "member of a law firm";</w:t>
            </w:r>
          </w:p>
          <w:p w:rsidR="00314A3B" w:rsidRPr="006B4B73" w:rsidRDefault="00796E41" w:rsidP="007D668D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6B4B73">
              <w:t>replaces applicable references</w:t>
            </w:r>
            <w:r w:rsidRPr="006B4B73">
              <w:t>, with respect to limits on contributions to a judicial candidate or officeholder,</w:t>
            </w:r>
            <w:r w:rsidRPr="006B4B73">
              <w:t xml:space="preserve"> to a member of a law firm</w:t>
            </w:r>
            <w:r w:rsidRPr="006B4B73">
              <w:t xml:space="preserve"> </w:t>
            </w:r>
            <w:r w:rsidRPr="006B4B73">
              <w:t>and to a general-purpose committee estab</w:t>
            </w:r>
            <w:r w:rsidRPr="006B4B73">
              <w:t xml:space="preserve">lished or controlled by a law firm with references to a law firm group; </w:t>
            </w:r>
            <w:r w:rsidRPr="006B4B73">
              <w:t>and</w:t>
            </w:r>
          </w:p>
          <w:p w:rsidR="00387930" w:rsidRPr="006B4B73" w:rsidRDefault="00796E41" w:rsidP="007D668D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6B4B73">
              <w:t>repeals the provision that establishes</w:t>
            </w:r>
            <w:r w:rsidRPr="006B4B73">
              <w:t>,</w:t>
            </w:r>
            <w:r w:rsidRPr="006B4B73">
              <w:t xml:space="preserve"> for purposes of those contribution limits</w:t>
            </w:r>
            <w:r w:rsidRPr="006B4B73">
              <w:t>,</w:t>
            </w:r>
            <w:r w:rsidRPr="006B4B73">
              <w:t xml:space="preserve"> that a contribution by a law firm whose members are each members of a second law firm is considered to be a contribution by the law firm that has members other than the members the firms have in common.</w:t>
            </w:r>
            <w:r w:rsidRPr="006B4B73">
              <w:t xml:space="preserve"> </w:t>
            </w:r>
          </w:p>
          <w:p w:rsidR="00387930" w:rsidRPr="006B4B73" w:rsidRDefault="00796E41" w:rsidP="007D668D">
            <w:pPr>
              <w:pStyle w:val="Header"/>
              <w:jc w:val="both"/>
            </w:pPr>
          </w:p>
          <w:p w:rsidR="00986E45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6B4B73">
              <w:t xml:space="preserve">H.B. 3233 </w:t>
            </w:r>
            <w:r w:rsidRPr="006B4B73">
              <w:t xml:space="preserve">revises </w:t>
            </w:r>
            <w:r w:rsidRPr="00C71DE7">
              <w:t xml:space="preserve">the </w:t>
            </w:r>
            <w:r w:rsidRPr="006B4B73">
              <w:t>aggregate limit</w:t>
            </w:r>
            <w:r w:rsidRPr="00C71DE7">
              <w:t>s</w:t>
            </w:r>
            <w:r w:rsidRPr="006B4B73">
              <w:t>, with r</w:t>
            </w:r>
            <w:r w:rsidRPr="006B4B73">
              <w:t xml:space="preserve">egard to a judicial candidate or officeholder, </w:t>
            </w:r>
            <w:r w:rsidRPr="006B4B73">
              <w:t xml:space="preserve">on </w:t>
            </w:r>
            <w:r w:rsidRPr="006B4B73">
              <w:t xml:space="preserve">political </w:t>
            </w:r>
            <w:r w:rsidRPr="006B4B73">
              <w:t>contributions</w:t>
            </w:r>
            <w:r w:rsidRPr="006B4B73">
              <w:t xml:space="preserve"> </w:t>
            </w:r>
            <w:r w:rsidRPr="006B4B73">
              <w:t>from and direct campaign expenditures by a general-purpose committee</w:t>
            </w:r>
            <w:r w:rsidRPr="006B4B73">
              <w:t xml:space="preserve"> by repealing the provision setting th</w:t>
            </w:r>
            <w:r w:rsidRPr="00C71DE7">
              <w:t>ose</w:t>
            </w:r>
            <w:r w:rsidRPr="006B4B73">
              <w:t xml:space="preserve"> aggregate limits </w:t>
            </w:r>
            <w:r w:rsidRPr="006B4B73">
              <w:t>as a percentage of certain candidate expenditure limits</w:t>
            </w:r>
            <w:r w:rsidRPr="006B4B73">
              <w:t xml:space="preserve"> </w:t>
            </w:r>
            <w:r w:rsidRPr="006B4B73">
              <w:t xml:space="preserve">and replacing </w:t>
            </w:r>
            <w:r w:rsidRPr="00C71DE7">
              <w:t>those aggregate limits</w:t>
            </w:r>
            <w:r w:rsidRPr="006B4B73">
              <w:t xml:space="preserve"> with </w:t>
            </w:r>
            <w:r w:rsidRPr="006B4B73">
              <w:t xml:space="preserve">specific </w:t>
            </w:r>
            <w:r w:rsidRPr="006B4B73">
              <w:t>aggregate limits</w:t>
            </w:r>
            <w:r w:rsidRPr="00C71DE7">
              <w:t>, with respect to contributions by law firm groups and general-purpose committees</w:t>
            </w:r>
            <w:r w:rsidRPr="00C71DE7">
              <w:t xml:space="preserve"> and </w:t>
            </w:r>
            <w:r w:rsidRPr="006B4B73">
              <w:t>in connection with an election in which the judicial candidate's name appears on the ballot</w:t>
            </w:r>
            <w:r w:rsidRPr="00C71DE7">
              <w:t>,</w:t>
            </w:r>
            <w:r w:rsidRPr="006B4B73">
              <w:t xml:space="preserve"> at</w:t>
            </w:r>
            <w:r w:rsidRPr="00C71DE7">
              <w:t xml:space="preserve"> the fo</w:t>
            </w:r>
            <w:r w:rsidRPr="00C71DE7">
              <w:t>llowing</w:t>
            </w:r>
            <w:r w:rsidRPr="006B4B73">
              <w:t>:</w:t>
            </w:r>
          </w:p>
          <w:p w:rsidR="00C412CD" w:rsidRPr="006B4B73" w:rsidRDefault="00796E41" w:rsidP="007D668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6B4B73">
              <w:t xml:space="preserve">$25,000 </w:t>
            </w:r>
            <w:r w:rsidRPr="006B4B73">
              <w:t>for a statewide judicial office</w:t>
            </w:r>
            <w:r w:rsidRPr="006B4B73">
              <w:t>;</w:t>
            </w:r>
            <w:r w:rsidRPr="006B4B73">
              <w:t xml:space="preserve"> or</w:t>
            </w:r>
          </w:p>
          <w:p w:rsidR="00C412CD" w:rsidRPr="006B4B73" w:rsidRDefault="00796E41" w:rsidP="007D668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6B4B73">
              <w:t>$5,000</w:t>
            </w:r>
            <w:r w:rsidRPr="006B4B73">
              <w:t xml:space="preserve"> for any other judicial office.</w:t>
            </w:r>
          </w:p>
          <w:p w:rsidR="00696A05" w:rsidRPr="006B4B73" w:rsidRDefault="00796E41" w:rsidP="007D668D">
            <w:pPr>
              <w:pStyle w:val="Header"/>
              <w:spacing w:before="120" w:after="120"/>
              <w:jc w:val="both"/>
            </w:pPr>
          </w:p>
          <w:p w:rsidR="00FA4336" w:rsidRPr="006B4B73" w:rsidRDefault="00796E41" w:rsidP="007D668D">
            <w:pPr>
              <w:pStyle w:val="Header"/>
              <w:spacing w:before="120" w:after="120"/>
              <w:jc w:val="both"/>
            </w:pPr>
            <w:r>
              <w:t>C.S.</w:t>
            </w:r>
            <w:r w:rsidRPr="00C71DE7">
              <w:t>H.B. 3233</w:t>
            </w:r>
            <w:r w:rsidRPr="006B4B73">
              <w:t xml:space="preserve"> sets</w:t>
            </w:r>
            <w:r w:rsidRPr="006B4B73">
              <w:t xml:space="preserve"> </w:t>
            </w:r>
            <w:r w:rsidRPr="006B4B73">
              <w:t xml:space="preserve">out </w:t>
            </w:r>
            <w:r w:rsidRPr="006B4B73">
              <w:t>addition</w:t>
            </w:r>
            <w:r w:rsidRPr="006B4B73">
              <w:t>al</w:t>
            </w:r>
            <w:r w:rsidRPr="006B4B73">
              <w:t xml:space="preserve"> </w:t>
            </w:r>
            <w:r w:rsidRPr="006B4B73">
              <w:t xml:space="preserve">specific </w:t>
            </w:r>
            <w:r w:rsidRPr="006B4B73">
              <w:t>contribution limits</w:t>
            </w:r>
            <w:r w:rsidRPr="006B4B73">
              <w:t xml:space="preserve"> on </w:t>
            </w:r>
            <w:r w:rsidRPr="006B4B73">
              <w:t>a political contribution in excess of $50</w:t>
            </w:r>
            <w:r w:rsidRPr="006B4B73">
              <w:t xml:space="preserve"> </w:t>
            </w:r>
            <w:r w:rsidRPr="006B4B73">
              <w:t>to</w:t>
            </w:r>
            <w:r w:rsidRPr="006B4B73">
              <w:t xml:space="preserve"> a judicial candidate or officeholder</w:t>
            </w:r>
            <w:r w:rsidRPr="006B4B73">
              <w:t xml:space="preserve"> </w:t>
            </w:r>
            <w:r w:rsidRPr="006B4B73">
              <w:t>by</w:t>
            </w:r>
            <w:r w:rsidRPr="006B4B73">
              <w:t xml:space="preserve"> a general-purpose committee</w:t>
            </w:r>
            <w:r w:rsidRPr="006B4B73">
              <w:t xml:space="preserve"> that</w:t>
            </w:r>
            <w:r w:rsidRPr="006B4B73">
              <w:t>, when aggregated with all political contributions from all general-purpose committees in connection with an election,</w:t>
            </w:r>
            <w:r w:rsidRPr="006B4B73">
              <w:t xml:space="preserve"> </w:t>
            </w:r>
            <w:r w:rsidRPr="006B4B73">
              <w:t xml:space="preserve">would exceed </w:t>
            </w:r>
            <w:r w:rsidRPr="006B4B73">
              <w:t>the following:</w:t>
            </w:r>
          </w:p>
          <w:p w:rsidR="00FA4336" w:rsidRPr="006B4B73" w:rsidRDefault="00796E41" w:rsidP="007D668D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6B4B73">
              <w:t xml:space="preserve">$300,000 for a statewide judicial office; </w:t>
            </w:r>
          </w:p>
          <w:p w:rsidR="007172EE" w:rsidRPr="006B4B73" w:rsidRDefault="00796E41" w:rsidP="007D668D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6B4B73">
              <w:t>certain specified amounts</w:t>
            </w:r>
            <w:r w:rsidRPr="006B4B73">
              <w:t xml:space="preserve"> ranging</w:t>
            </w:r>
            <w:r w:rsidRPr="006B4B73">
              <w:t xml:space="preserve"> from $52,500 to $75,000, depending on the population of the applicable judicial district,</w:t>
            </w:r>
            <w:r w:rsidRPr="006B4B73">
              <w:t xml:space="preserve"> for</w:t>
            </w:r>
            <w:r w:rsidRPr="006B4B73">
              <w:t xml:space="preserve"> </w:t>
            </w:r>
            <w:r w:rsidRPr="006B4B73">
              <w:t>the</w:t>
            </w:r>
            <w:r w:rsidRPr="006B4B73">
              <w:t xml:space="preserve"> </w:t>
            </w:r>
            <w:r w:rsidRPr="006B4B73">
              <w:t>office of chief justice or justice, court of appeals</w:t>
            </w:r>
            <w:r w:rsidRPr="006B4B73">
              <w:t>;</w:t>
            </w:r>
            <w:r w:rsidRPr="006B4B73">
              <w:t xml:space="preserve"> </w:t>
            </w:r>
            <w:r w:rsidRPr="006B4B73">
              <w:t>and</w:t>
            </w:r>
          </w:p>
          <w:p w:rsidR="00FA4336" w:rsidRPr="006B4B73" w:rsidRDefault="00796E41" w:rsidP="007D668D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6B4B73">
              <w:t>certain specified amounts ranging from $15,000 to $52,500, depending on the population of the appli</w:t>
            </w:r>
            <w:r w:rsidRPr="006B4B73">
              <w:t xml:space="preserve">cable judicial district, for an office other than the foregoing offices.  </w:t>
            </w:r>
          </w:p>
          <w:p w:rsidR="007172EE" w:rsidRPr="006B4B73" w:rsidRDefault="00796E41" w:rsidP="007D668D">
            <w:pPr>
              <w:pStyle w:val="Header"/>
              <w:jc w:val="both"/>
            </w:pPr>
            <w:r w:rsidRPr="006B4B73">
              <w:t xml:space="preserve"> </w:t>
            </w:r>
          </w:p>
          <w:p w:rsidR="00CB2C68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6B4B73">
              <w:t xml:space="preserve">H.B. 3233 establishes that a </w:t>
            </w:r>
            <w:r w:rsidRPr="006B4B73">
              <w:t xml:space="preserve">political </w:t>
            </w:r>
            <w:r w:rsidRPr="006B4B73">
              <w:t>contribution by the spouse of an individual is not considered to be a contribution by the individual</w:t>
            </w:r>
            <w:r w:rsidRPr="006B4B73">
              <w:t xml:space="preserve"> for the purposes of the Judicial Ca</w:t>
            </w:r>
            <w:r w:rsidRPr="006B4B73">
              <w:t>mpaign Fairness Act</w:t>
            </w:r>
            <w:r w:rsidRPr="006B4B73">
              <w:t>,</w:t>
            </w:r>
            <w:r w:rsidRPr="006B4B73">
              <w:t xml:space="preserve"> as amended by the bill</w:t>
            </w:r>
            <w:r w:rsidRPr="006B4B73">
              <w:t xml:space="preserve">. </w:t>
            </w:r>
          </w:p>
          <w:p w:rsidR="000D1EB6" w:rsidRPr="006B4B73" w:rsidRDefault="00796E41" w:rsidP="007D668D">
            <w:pPr>
              <w:pStyle w:val="Header"/>
              <w:jc w:val="both"/>
            </w:pPr>
          </w:p>
          <w:p w:rsidR="00564B84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C71DE7">
              <w:t>H.B. 3233 revises the exemption</w:t>
            </w:r>
            <w:r w:rsidRPr="00C71DE7">
              <w:t>s</w:t>
            </w:r>
            <w:r w:rsidRPr="00C71DE7">
              <w:t xml:space="preserve"> from the prohibition against the use of political contributions for certain expenditures by a person who accepted the contribution while the person was a candidate for or o</w:t>
            </w:r>
            <w:r w:rsidRPr="00C71DE7">
              <w:t xml:space="preserve">fficeholder of a judicial or nonjudicial office to add as a condition for the exemption that the contribution was made in connection with an election for judicial office. </w:t>
            </w:r>
            <w:r w:rsidRPr="006B4B73">
              <w:t>The bill repeals a provision establish</w:t>
            </w:r>
            <w:r w:rsidRPr="006B4B73">
              <w:t>ing</w:t>
            </w:r>
            <w:r w:rsidRPr="006B4B73">
              <w:t xml:space="preserve"> that </w:t>
            </w:r>
            <w:r w:rsidRPr="006B4B73">
              <w:t xml:space="preserve">such a prohibition </w:t>
            </w:r>
            <w:r w:rsidRPr="006B4B73">
              <w:t>does not prohibit a</w:t>
            </w:r>
            <w:r w:rsidRPr="006B4B73">
              <w:t xml:space="preserve"> candidate or officeholder from making a political contribution to another candidate or officeholder. </w:t>
            </w:r>
          </w:p>
          <w:p w:rsidR="00564B84" w:rsidRPr="006B4B73" w:rsidRDefault="00796E41" w:rsidP="007D668D">
            <w:pPr>
              <w:pStyle w:val="Header"/>
              <w:jc w:val="both"/>
            </w:pPr>
          </w:p>
          <w:p w:rsidR="0074023D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6B4B73">
              <w:t>H.B. 3233</w:t>
            </w:r>
            <w:r w:rsidRPr="006B4B73">
              <w:t xml:space="preserve"> prohibits the Code</w:t>
            </w:r>
            <w:r w:rsidRPr="006B4B73">
              <w:t xml:space="preserve"> of Judicial Conduct from prohibiting, and a judicial candidate from being penalized for, a joint campaign activity conducted by two or more judicial candidates. </w:t>
            </w:r>
          </w:p>
          <w:p w:rsidR="0074023D" w:rsidRPr="006B4B73" w:rsidRDefault="00796E41" w:rsidP="007D668D">
            <w:pPr>
              <w:pStyle w:val="Header"/>
              <w:jc w:val="both"/>
            </w:pPr>
          </w:p>
          <w:p w:rsidR="006E6A5D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6B4B73">
              <w:t xml:space="preserve">H.B. 3233 revises provisions relating to </w:t>
            </w:r>
            <w:r w:rsidRPr="006B4B73">
              <w:t>the application of contribution and reimburseme</w:t>
            </w:r>
            <w:r w:rsidRPr="006B4B73">
              <w:t xml:space="preserve">nt limits to establish, for purposes of certain political </w:t>
            </w:r>
            <w:r w:rsidRPr="006B4B73">
              <w:t>contribution limits</w:t>
            </w:r>
            <w:r w:rsidRPr="006B4B73">
              <w:t xml:space="preserve"> and a certain limit on reimbursement of personal funds and</w:t>
            </w:r>
            <w:r w:rsidRPr="006B4B73">
              <w:t xml:space="preserve"> repayment of certain loans</w:t>
            </w:r>
            <w:r w:rsidRPr="006B4B73">
              <w:t>,</w:t>
            </w:r>
            <w:r w:rsidRPr="006B4B73">
              <w:t xml:space="preserve"> </w:t>
            </w:r>
            <w:r w:rsidRPr="006B4B73">
              <w:t xml:space="preserve">that </w:t>
            </w:r>
            <w:r w:rsidRPr="006B4B73">
              <w:t>the general</w:t>
            </w:r>
            <w:r w:rsidRPr="006B4B73">
              <w:t xml:space="preserve"> and</w:t>
            </w:r>
            <w:r w:rsidRPr="006B4B73">
              <w:t xml:space="preserve"> primary elections are considered separate elections for a candidate whose name appears on the ballot</w:t>
            </w:r>
            <w:r w:rsidRPr="006B4B73">
              <w:t xml:space="preserve"> and that a runoff election in which the candidate's name is on the ballot is considered a separate election</w:t>
            </w:r>
            <w:r w:rsidRPr="006B4B73">
              <w:t xml:space="preserve">. </w:t>
            </w:r>
          </w:p>
          <w:p w:rsidR="006E6A5D" w:rsidRPr="006B4B73" w:rsidRDefault="00796E41" w:rsidP="007D668D">
            <w:pPr>
              <w:pStyle w:val="Header"/>
              <w:jc w:val="both"/>
            </w:pPr>
          </w:p>
          <w:p w:rsidR="00260F27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6B4B73">
              <w:t xml:space="preserve">H.B. 3233 </w:t>
            </w:r>
            <w:r w:rsidRPr="006B4B73">
              <w:t>repeals</w:t>
            </w:r>
            <w:r w:rsidRPr="006B4B73">
              <w:t xml:space="preserve"> </w:t>
            </w:r>
            <w:r w:rsidRPr="006B4B73">
              <w:t>the provision establi</w:t>
            </w:r>
            <w:r w:rsidRPr="006B4B73">
              <w:t>shing the judicial campaign fairness fun</w:t>
            </w:r>
            <w:r w:rsidRPr="006B4B73">
              <w:t>d</w:t>
            </w:r>
            <w:r w:rsidRPr="006B4B73">
              <w:t xml:space="preserve"> and repeals </w:t>
            </w:r>
            <w:r w:rsidRPr="006B4B73">
              <w:t xml:space="preserve">certain provisions </w:t>
            </w:r>
            <w:r w:rsidRPr="006B4B73">
              <w:t xml:space="preserve">of the Judicial Campaign Fairness Act </w:t>
            </w:r>
            <w:r w:rsidRPr="006B4B73">
              <w:t>relating to</w:t>
            </w:r>
            <w:r w:rsidRPr="006B4B73">
              <w:t xml:space="preserve"> voluntary expenditure limits for judicial candidates, including provisions relating to</w:t>
            </w:r>
            <w:r w:rsidRPr="006B4B73">
              <w:t>:</w:t>
            </w:r>
          </w:p>
          <w:p w:rsidR="00260F27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the </w:t>
            </w:r>
            <w:r w:rsidRPr="006B4B73">
              <w:t>notice required for certain political exp</w:t>
            </w:r>
            <w:r w:rsidRPr="006B4B73">
              <w:t>enditures</w:t>
            </w:r>
            <w:r w:rsidRPr="006B4B73">
              <w:t>;</w:t>
            </w:r>
            <w:r w:rsidRPr="006B4B73">
              <w:t xml:space="preserve"> </w:t>
            </w:r>
          </w:p>
          <w:p w:rsidR="001427BC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 xml:space="preserve">a sworn declaration of </w:t>
            </w:r>
            <w:r w:rsidRPr="006B4B73">
              <w:t>voluntary compliance</w:t>
            </w:r>
            <w:r w:rsidRPr="006B4B73">
              <w:t>;</w:t>
            </w:r>
          </w:p>
          <w:p w:rsidR="001427BC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 xml:space="preserve">the </w:t>
            </w:r>
            <w:r w:rsidRPr="006B4B73">
              <w:t>effect of</w:t>
            </w:r>
            <w:r w:rsidRPr="006B4B73">
              <w:t xml:space="preserve"> a</w:t>
            </w:r>
            <w:r w:rsidRPr="006B4B73">
              <w:t xml:space="preserve"> noncomplying candidate</w:t>
            </w:r>
            <w:r w:rsidRPr="006B4B73">
              <w:t xml:space="preserve"> on limits applicable to a complying candidate;</w:t>
            </w:r>
          </w:p>
          <w:p w:rsidR="00260F27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 xml:space="preserve">the </w:t>
            </w:r>
            <w:r w:rsidRPr="006B4B73">
              <w:t xml:space="preserve">entitlement of </w:t>
            </w:r>
            <w:r w:rsidRPr="006B4B73">
              <w:t>a</w:t>
            </w:r>
            <w:r w:rsidRPr="006B4B73">
              <w:t xml:space="preserve"> complying candidate</w:t>
            </w:r>
            <w:r w:rsidRPr="006B4B73">
              <w:t xml:space="preserve"> to make statements regarding that compliance in political advertising</w:t>
            </w:r>
            <w:r w:rsidRPr="006B4B73">
              <w:t>;</w:t>
            </w:r>
          </w:p>
          <w:p w:rsidR="003B0D0E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>c</w:t>
            </w:r>
            <w:r w:rsidRPr="006B4B73">
              <w:t xml:space="preserve">ertain </w:t>
            </w:r>
            <w:r w:rsidRPr="006B4B73">
              <w:t>expenditure limits</w:t>
            </w:r>
            <w:r w:rsidRPr="006B4B73">
              <w:t xml:space="preserve"> and the related civil penalty for violating those limits;</w:t>
            </w:r>
          </w:p>
          <w:p w:rsidR="003B0D0E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 xml:space="preserve">the consideration of an </w:t>
            </w:r>
            <w:r w:rsidRPr="006B4B73">
              <w:t xml:space="preserve">expenditure by certain committees </w:t>
            </w:r>
            <w:r w:rsidRPr="006B4B73">
              <w:t>as a candidate</w:t>
            </w:r>
            <w:r w:rsidRPr="006B4B73">
              <w:t xml:space="preserve"> expenditure</w:t>
            </w:r>
            <w:r w:rsidRPr="006B4B73">
              <w:t>;</w:t>
            </w:r>
          </w:p>
          <w:p w:rsidR="00260F27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 xml:space="preserve">the </w:t>
            </w:r>
            <w:r w:rsidRPr="006B4B73">
              <w:t>effect of certain political expenditures</w:t>
            </w:r>
            <w:r w:rsidRPr="006B4B73">
              <w:t xml:space="preserve"> </w:t>
            </w:r>
            <w:r w:rsidRPr="00C71DE7">
              <w:rPr>
                <w:shd w:val="clear" w:color="auto" w:fill="FFFFFF"/>
              </w:rPr>
              <w:t>for the purpose of supporting the candida</w:t>
            </w:r>
            <w:r w:rsidRPr="00C71DE7">
              <w:rPr>
                <w:shd w:val="clear" w:color="auto" w:fill="FFFFFF"/>
              </w:rPr>
              <w:t xml:space="preserve">te's opponent, opposing the candidate, or assisting the candidate's opponent as an officeholder </w:t>
            </w:r>
            <w:r w:rsidRPr="006B4B73">
              <w:t xml:space="preserve">on limits applicable to </w:t>
            </w:r>
            <w:r w:rsidRPr="006B4B73">
              <w:t>a</w:t>
            </w:r>
            <w:r w:rsidRPr="006B4B73">
              <w:t xml:space="preserve"> complying candidate;</w:t>
            </w:r>
            <w:r w:rsidRPr="006B4B73">
              <w:t xml:space="preserve"> </w:t>
            </w:r>
          </w:p>
          <w:p w:rsidR="006D29A0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 xml:space="preserve">a prohibition </w:t>
            </w:r>
            <w:r w:rsidRPr="006B4B73">
              <w:t>on exceeding expenditure limits</w:t>
            </w:r>
            <w:r w:rsidRPr="006B4B73">
              <w:t xml:space="preserve"> before a certain date with respect to a complying candidate who filed a declaration of intent to exceed certain limits and a specific-purpose committee supporting such a candidate;</w:t>
            </w:r>
          </w:p>
          <w:p w:rsidR="00DA15A4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 xml:space="preserve">a prohibition on </w:t>
            </w:r>
            <w:r w:rsidRPr="006B4B73">
              <w:t>a</w:t>
            </w:r>
            <w:r w:rsidRPr="006B4B73">
              <w:t xml:space="preserve">greements to evade limits; </w:t>
            </w:r>
            <w:r w:rsidRPr="006B4B73">
              <w:t>and</w:t>
            </w:r>
          </w:p>
          <w:p w:rsidR="00260F27" w:rsidRPr="006B4B73" w:rsidRDefault="00796E41" w:rsidP="007D668D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 w:rsidRPr="006B4B73">
              <w:t xml:space="preserve">the prohibition against </w:t>
            </w:r>
            <w:r w:rsidRPr="006B4B73">
              <w:t>m</w:t>
            </w:r>
            <w:r w:rsidRPr="006B4B73">
              <w:t xml:space="preserve">isrepresentation </w:t>
            </w:r>
            <w:r>
              <w:t xml:space="preserve">of </w:t>
            </w:r>
            <w:r w:rsidRPr="006B4B73">
              <w:t>an</w:t>
            </w:r>
            <w:r w:rsidRPr="006B4B73">
              <w:t xml:space="preserve"> opponent</w:t>
            </w:r>
            <w:r w:rsidRPr="006B4B73">
              <w:t>'s compliance with or violation of the act</w:t>
            </w:r>
            <w:r w:rsidRPr="006B4B73">
              <w:t>.</w:t>
            </w:r>
          </w:p>
          <w:p w:rsidR="00260F27" w:rsidRPr="006B4B73" w:rsidRDefault="00796E41" w:rsidP="007D668D">
            <w:pPr>
              <w:pStyle w:val="Header"/>
              <w:jc w:val="both"/>
            </w:pPr>
          </w:p>
          <w:p w:rsidR="0074023D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6B4B73">
              <w:t>H.B. 3233</w:t>
            </w:r>
            <w:r w:rsidRPr="006B4B73">
              <w:t xml:space="preserve"> requires the Texas Ethics Commission (TEC) to post</w:t>
            </w:r>
            <w:r w:rsidRPr="006B4B73">
              <w:t xml:space="preserve"> on the TEC website</w:t>
            </w:r>
            <w:r w:rsidRPr="006B4B73">
              <w:t xml:space="preserve"> the required written certification of the population of each judicial district </w:t>
            </w:r>
            <w:r w:rsidRPr="006B4B73">
              <w:t>for which a candi</w:t>
            </w:r>
            <w:r w:rsidRPr="006B4B73">
              <w:t>date for judge or justice must file a campaign treasurer appointment with the TEC</w:t>
            </w:r>
            <w:r w:rsidRPr="006B4B73">
              <w:t>. The bill</w:t>
            </w:r>
            <w:r w:rsidRPr="006B4B73">
              <w:t xml:space="preserve"> revises provisions relating to contribution from or direct campaign expenditure by </w:t>
            </w:r>
            <w:r w:rsidRPr="006B4B73">
              <w:t xml:space="preserve">a </w:t>
            </w:r>
            <w:r w:rsidRPr="006B4B73">
              <w:t>political party</w:t>
            </w:r>
            <w:r w:rsidRPr="006B4B73">
              <w:t xml:space="preserve"> </w:t>
            </w:r>
            <w:r w:rsidRPr="006B4B73">
              <w:t xml:space="preserve">to </w:t>
            </w:r>
            <w:r w:rsidRPr="006B4B73">
              <w:t>establish that a political expenditure that is made by the p</w:t>
            </w:r>
            <w:r w:rsidRPr="006B4B73">
              <w:t>rincipal political committee of the state executive committee or a county executive committee of a political party for a generic get</w:t>
            </w:r>
            <w:r>
              <w:noBreakHyphen/>
            </w:r>
            <w:r w:rsidRPr="006B4B73">
              <w:t>out</w:t>
            </w:r>
            <w:r>
              <w:noBreakHyphen/>
            </w:r>
            <w:r w:rsidRPr="006B4B73">
              <w:t>the-vote campaign or to create and distribute a written list of two or more candidates is not considered a contribution</w:t>
            </w:r>
            <w:r w:rsidRPr="006B4B73">
              <w:t xml:space="preserve"> to a judicial candidate who benefits from the get-out-the-vote campaign or is included in the written list and is not subject to certain contribution limits if the get-out-the-vote campaign or written list meets certain requirements. </w:t>
            </w:r>
          </w:p>
          <w:p w:rsidR="0074023D" w:rsidRPr="006B4B73" w:rsidRDefault="00796E41" w:rsidP="007D668D">
            <w:pPr>
              <w:pStyle w:val="Header"/>
              <w:jc w:val="both"/>
            </w:pPr>
          </w:p>
          <w:p w:rsidR="0074023D" w:rsidRPr="006B4B73" w:rsidRDefault="00796E41" w:rsidP="007D668D">
            <w:pPr>
              <w:pStyle w:val="Header"/>
              <w:jc w:val="both"/>
            </w:pPr>
            <w:r>
              <w:t>C.S.</w:t>
            </w:r>
            <w:r w:rsidRPr="006B4B73">
              <w:t>H.B. 3233 repea</w:t>
            </w:r>
            <w:r w:rsidRPr="006B4B73">
              <w:t>ls the following provisions of the Election Code:</w:t>
            </w:r>
          </w:p>
          <w:p w:rsidR="0074023D" w:rsidRPr="006B4B73" w:rsidRDefault="00796E41" w:rsidP="007D66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B4B73">
              <w:t>Section 253.155(d)</w:t>
            </w:r>
          </w:p>
          <w:p w:rsidR="0074023D" w:rsidRPr="006B4B73" w:rsidRDefault="00796E41" w:rsidP="007D66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B4B73">
              <w:t>Sections 253.157</w:t>
            </w:r>
            <w:r>
              <w:t xml:space="preserve">(a), </w:t>
            </w:r>
            <w:r w:rsidRPr="006B4B73">
              <w:t>(d)</w:t>
            </w:r>
            <w:r>
              <w:t>,</w:t>
            </w:r>
            <w:r w:rsidRPr="006B4B73">
              <w:t xml:space="preserve"> and (e)</w:t>
            </w:r>
          </w:p>
          <w:p w:rsidR="0074023D" w:rsidRPr="006B4B73" w:rsidRDefault="00796E41" w:rsidP="007D66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B4B73">
              <w:t>Section 253.160</w:t>
            </w:r>
          </w:p>
          <w:p w:rsidR="0074023D" w:rsidRPr="006B4B73" w:rsidRDefault="00796E41" w:rsidP="007D66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B4B73">
              <w:t>Section 253.161(c)</w:t>
            </w:r>
          </w:p>
          <w:p w:rsidR="002A789A" w:rsidRPr="006B4B73" w:rsidRDefault="00796E41" w:rsidP="007D66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B4B73">
              <w:t>Section 253.162(b)</w:t>
            </w:r>
          </w:p>
          <w:p w:rsidR="00BA3C59" w:rsidRPr="006B4B73" w:rsidRDefault="00796E41" w:rsidP="007D66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B4B73">
              <w:t xml:space="preserve">Sections 253.163, 253.164, 253.165, 253.166, 253.168, 253.169, 253.170, 253.172, 253.173, 253.174, </w:t>
            </w:r>
            <w:r w:rsidRPr="006B4B73">
              <w:t>and 253.175</w:t>
            </w:r>
          </w:p>
          <w:p w:rsidR="00ED0AD0" w:rsidRPr="006B4B73" w:rsidRDefault="00796E41" w:rsidP="007D668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6B4B73">
              <w:t>Section 253.176(c)</w:t>
            </w:r>
          </w:p>
          <w:p w:rsidR="00272EEB" w:rsidRPr="006B4B73" w:rsidRDefault="00796E41" w:rsidP="007D668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538D8" w:rsidTr="00345119">
        <w:tc>
          <w:tcPr>
            <w:tcW w:w="9576" w:type="dxa"/>
          </w:tcPr>
          <w:p w:rsidR="008423E4" w:rsidRPr="006B4B73" w:rsidRDefault="00796E41" w:rsidP="007D668D">
            <w:pPr>
              <w:rPr>
                <w:b/>
              </w:rPr>
            </w:pPr>
            <w:r w:rsidRPr="006B4B73">
              <w:rPr>
                <w:b/>
                <w:u w:val="single"/>
              </w:rPr>
              <w:t>EFFECTIVE DATE</w:t>
            </w:r>
            <w:r w:rsidRPr="006B4B73">
              <w:rPr>
                <w:b/>
              </w:rPr>
              <w:t xml:space="preserve"> </w:t>
            </w:r>
          </w:p>
          <w:p w:rsidR="008423E4" w:rsidRPr="006B4B73" w:rsidRDefault="00796E41" w:rsidP="007D668D"/>
          <w:p w:rsidR="008423E4" w:rsidRPr="003624F2" w:rsidRDefault="00796E41" w:rsidP="007D66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B4B73">
              <w:t>On passage, or, if the bill does not receive the necessary vote, September 1, 2019.</w:t>
            </w:r>
          </w:p>
          <w:p w:rsidR="008423E4" w:rsidRPr="00233FDB" w:rsidRDefault="00796E41" w:rsidP="007D668D">
            <w:pPr>
              <w:rPr>
                <w:b/>
              </w:rPr>
            </w:pPr>
          </w:p>
        </w:tc>
      </w:tr>
      <w:tr w:rsidR="00E538D8" w:rsidTr="00345119">
        <w:tc>
          <w:tcPr>
            <w:tcW w:w="9576" w:type="dxa"/>
          </w:tcPr>
          <w:p w:rsidR="002D43AB" w:rsidRDefault="00796E41" w:rsidP="007D668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74E4C" w:rsidRDefault="00796E41" w:rsidP="007D668D">
            <w:pPr>
              <w:jc w:val="both"/>
            </w:pPr>
          </w:p>
          <w:p w:rsidR="00742883" w:rsidRDefault="00796E41" w:rsidP="007D668D">
            <w:pPr>
              <w:jc w:val="both"/>
            </w:pPr>
            <w:r>
              <w:t>While C.S.H.B. 3233 may differ from the original in minor or nonsubstantive ways,</w:t>
            </w:r>
            <w:r>
              <w:t xml:space="preserve"> the following summarizes the substantial differences between the introduced and committee substitute versions of the bill.</w:t>
            </w:r>
          </w:p>
          <w:p w:rsidR="00742883" w:rsidRDefault="00796E41" w:rsidP="007D668D">
            <w:pPr>
              <w:jc w:val="both"/>
            </w:pPr>
          </w:p>
          <w:p w:rsidR="00AC0E5C" w:rsidRDefault="00796E41" w:rsidP="007D668D">
            <w:pPr>
              <w:jc w:val="both"/>
            </w:pPr>
            <w:r>
              <w:t xml:space="preserve">The substitute revises a definition </w:t>
            </w:r>
            <w:r>
              <w:t>of</w:t>
            </w:r>
            <w:r>
              <w:t xml:space="preserve"> "law firm" to include any entity organized for the practice of law.</w:t>
            </w:r>
          </w:p>
          <w:p w:rsidR="00AC0E5C" w:rsidRDefault="00796E41" w:rsidP="007D668D">
            <w:pPr>
              <w:jc w:val="both"/>
            </w:pPr>
          </w:p>
          <w:p w:rsidR="00AC0E5C" w:rsidRDefault="00796E41" w:rsidP="007D668D">
            <w:pPr>
              <w:jc w:val="both"/>
            </w:pPr>
            <w:r>
              <w:t>The substitute does not</w:t>
            </w:r>
            <w:r>
              <w:t xml:space="preserve"> include a</w:t>
            </w:r>
            <w:r>
              <w:t xml:space="preserve"> </w:t>
            </w:r>
            <w:r>
              <w:t xml:space="preserve">condition on the prohibition against </w:t>
            </w:r>
            <w:r w:rsidRPr="00C13B4B">
              <w:t xml:space="preserve">the Code of Judicial Conduct </w:t>
            </w:r>
            <w:r>
              <w:t>prohibiting, and a judicial candidate</w:t>
            </w:r>
            <w:r>
              <w:t xml:space="preserve"> </w:t>
            </w:r>
            <w:r>
              <w:t>being penalized for, a joint campaign activity</w:t>
            </w:r>
            <w:r>
              <w:t xml:space="preserve"> </w:t>
            </w:r>
            <w:r w:rsidRPr="00C13B4B">
              <w:t>conducted by two or more judicial candidates</w:t>
            </w:r>
            <w:r>
              <w:t xml:space="preserve"> based on whether the activity clearly indicates a</w:t>
            </w:r>
            <w:r>
              <w:t xml:space="preserve"> judicial candidate does not endorse another judicial or nonjudicial candidate.</w:t>
            </w:r>
          </w:p>
          <w:p w:rsidR="00AC0E5C" w:rsidRDefault="00796E41" w:rsidP="007D668D">
            <w:pPr>
              <w:jc w:val="both"/>
            </w:pPr>
          </w:p>
          <w:p w:rsidR="00C13B4B" w:rsidRDefault="00796E41" w:rsidP="007D668D">
            <w:pPr>
              <w:jc w:val="both"/>
            </w:pPr>
            <w:r>
              <w:t>The substitute includes the repeal of Section 253.157(a), Election Code.</w:t>
            </w:r>
          </w:p>
          <w:p w:rsidR="00274E4C" w:rsidRPr="006250FF" w:rsidRDefault="00796E41" w:rsidP="007D668D">
            <w:pPr>
              <w:jc w:val="both"/>
            </w:pPr>
          </w:p>
        </w:tc>
      </w:tr>
      <w:tr w:rsidR="00E538D8" w:rsidTr="00345119">
        <w:tc>
          <w:tcPr>
            <w:tcW w:w="9576" w:type="dxa"/>
          </w:tcPr>
          <w:p w:rsidR="002D43AB" w:rsidRPr="006B4B73" w:rsidRDefault="00796E41" w:rsidP="007D668D">
            <w:pPr>
              <w:rPr>
                <w:b/>
                <w:u w:val="single"/>
              </w:rPr>
            </w:pPr>
          </w:p>
        </w:tc>
      </w:tr>
      <w:tr w:rsidR="00E538D8" w:rsidTr="00345119">
        <w:tc>
          <w:tcPr>
            <w:tcW w:w="9576" w:type="dxa"/>
          </w:tcPr>
          <w:p w:rsidR="002D43AB" w:rsidRPr="002D43AB" w:rsidRDefault="00796E41" w:rsidP="007D668D">
            <w:pPr>
              <w:jc w:val="both"/>
            </w:pPr>
          </w:p>
        </w:tc>
      </w:tr>
    </w:tbl>
    <w:p w:rsidR="008423E4" w:rsidRPr="00BE0E75" w:rsidRDefault="00796E4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96E4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6E41">
      <w:r>
        <w:separator/>
      </w:r>
    </w:p>
  </w:endnote>
  <w:endnote w:type="continuationSeparator" w:id="0">
    <w:p w:rsidR="00000000" w:rsidRDefault="0079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38D8" w:rsidTr="009C1E9A">
      <w:trPr>
        <w:cantSplit/>
      </w:trPr>
      <w:tc>
        <w:tcPr>
          <w:tcW w:w="0" w:type="pct"/>
        </w:tcPr>
        <w:p w:rsidR="00137D90" w:rsidRDefault="00796E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6E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6E4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6E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6E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38D8" w:rsidTr="009C1E9A">
      <w:trPr>
        <w:cantSplit/>
      </w:trPr>
      <w:tc>
        <w:tcPr>
          <w:tcW w:w="0" w:type="pct"/>
        </w:tcPr>
        <w:p w:rsidR="00EC379B" w:rsidRDefault="00796E4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6E4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26031</w:t>
          </w:r>
        </w:p>
      </w:tc>
      <w:tc>
        <w:tcPr>
          <w:tcW w:w="2453" w:type="pct"/>
        </w:tcPr>
        <w:p w:rsidR="00EC379B" w:rsidRDefault="00796E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19.100.877</w:t>
          </w:r>
          <w:r>
            <w:fldChar w:fldCharType="end"/>
          </w:r>
        </w:p>
      </w:tc>
    </w:tr>
    <w:tr w:rsidR="00E538D8" w:rsidTr="009C1E9A">
      <w:trPr>
        <w:cantSplit/>
      </w:trPr>
      <w:tc>
        <w:tcPr>
          <w:tcW w:w="0" w:type="pct"/>
        </w:tcPr>
        <w:p w:rsidR="00EC379B" w:rsidRDefault="00796E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6E4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23409</w:t>
          </w:r>
        </w:p>
      </w:tc>
      <w:tc>
        <w:tcPr>
          <w:tcW w:w="2453" w:type="pct"/>
        </w:tcPr>
        <w:p w:rsidR="00EC379B" w:rsidRDefault="00796E41" w:rsidP="006D504F">
          <w:pPr>
            <w:pStyle w:val="Footer"/>
            <w:rPr>
              <w:rStyle w:val="PageNumber"/>
            </w:rPr>
          </w:pPr>
        </w:p>
        <w:p w:rsidR="00EC379B" w:rsidRDefault="00796E4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38D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6E4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796E4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6E4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6E41">
      <w:r>
        <w:separator/>
      </w:r>
    </w:p>
  </w:footnote>
  <w:footnote w:type="continuationSeparator" w:id="0">
    <w:p w:rsidR="00000000" w:rsidRDefault="00796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E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EB2"/>
    <w:multiLevelType w:val="hybridMultilevel"/>
    <w:tmpl w:val="E430A118"/>
    <w:lvl w:ilvl="0" w:tplc="AD1CA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EE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644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E88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A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E1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8A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B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E0D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A15F2"/>
    <w:multiLevelType w:val="hybridMultilevel"/>
    <w:tmpl w:val="433257A0"/>
    <w:lvl w:ilvl="0" w:tplc="C008A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2A29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0C2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A0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4A7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20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CA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04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CC9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B1E98"/>
    <w:multiLevelType w:val="hybridMultilevel"/>
    <w:tmpl w:val="C9BAA05C"/>
    <w:lvl w:ilvl="0" w:tplc="2F02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5A6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CCD9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00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85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EB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65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86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F23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40A57"/>
    <w:multiLevelType w:val="hybridMultilevel"/>
    <w:tmpl w:val="8FAAEDA2"/>
    <w:lvl w:ilvl="0" w:tplc="3F9E0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60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473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22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CD6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0B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CCA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62D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3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37488"/>
    <w:multiLevelType w:val="hybridMultilevel"/>
    <w:tmpl w:val="4ACABBE8"/>
    <w:lvl w:ilvl="0" w:tplc="B85C2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AE2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366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0D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24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E2A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61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C0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42EB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82778"/>
    <w:multiLevelType w:val="hybridMultilevel"/>
    <w:tmpl w:val="ADB44840"/>
    <w:lvl w:ilvl="0" w:tplc="6178B8C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0A0693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D6C26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62215D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94D48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CEC945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1DE64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C2894A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5E8638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E141DD7"/>
    <w:multiLevelType w:val="hybridMultilevel"/>
    <w:tmpl w:val="E03623CE"/>
    <w:lvl w:ilvl="0" w:tplc="925E8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0F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678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4F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D4D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08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C79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7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83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8"/>
    <w:rsid w:val="00796E41"/>
    <w:rsid w:val="00E5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BA08E7-1074-4F0E-A854-F14190FD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E38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38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38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3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3838"/>
    <w:rPr>
      <w:b/>
      <w:bCs/>
    </w:rPr>
  </w:style>
  <w:style w:type="paragraph" w:styleId="ListParagraph">
    <w:name w:val="List Paragraph"/>
    <w:basedOn w:val="Normal"/>
    <w:uiPriority w:val="34"/>
    <w:qFormat/>
    <w:rsid w:val="0027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7610</Characters>
  <Application>Microsoft Office Word</Application>
  <DocSecurity>4</DocSecurity>
  <Lines>161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HB03233 (Committee Report (Substituted))</vt:lpstr>
    </vt:vector>
  </TitlesOfParts>
  <Company>State of Texas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26031</dc:subject>
  <dc:creator>State of Texas</dc:creator>
  <dc:description>HB 3233 by Klick-(H)Elections (Substitute Document Number: 86R 23409)</dc:description>
  <cp:lastModifiedBy>Erin Conway</cp:lastModifiedBy>
  <cp:revision>2</cp:revision>
  <cp:lastPrinted>2003-11-26T17:21:00Z</cp:lastPrinted>
  <dcterms:created xsi:type="dcterms:W3CDTF">2019-04-16T00:57:00Z</dcterms:created>
  <dcterms:modified xsi:type="dcterms:W3CDTF">2019-04-16T00:57:00Z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19.100.877</vt:lpwstr>
  </property>
</Properties>
</file>