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33B19" w:rsidTr="00345119">
        <w:tc>
          <w:tcPr>
            <w:tcW w:w="9576" w:type="dxa"/>
            <w:noWrap/>
          </w:tcPr>
          <w:p w:rsidR="008423E4" w:rsidRPr="0022177D" w:rsidRDefault="00583794" w:rsidP="00345119">
            <w:pPr>
              <w:pStyle w:val="Heading1"/>
            </w:pPr>
            <w:bookmarkStart w:id="0" w:name="_GoBack"/>
            <w:bookmarkEnd w:id="0"/>
            <w:r w:rsidRPr="00631897">
              <w:t>BILL ANALYSIS</w:t>
            </w:r>
          </w:p>
        </w:tc>
      </w:tr>
    </w:tbl>
    <w:p w:rsidR="008423E4" w:rsidRPr="0022177D" w:rsidRDefault="00583794" w:rsidP="008423E4">
      <w:pPr>
        <w:jc w:val="center"/>
      </w:pPr>
    </w:p>
    <w:p w:rsidR="008423E4" w:rsidRPr="00B31F0E" w:rsidRDefault="00583794" w:rsidP="008423E4"/>
    <w:p w:rsidR="008423E4" w:rsidRPr="00742794" w:rsidRDefault="00583794" w:rsidP="008423E4">
      <w:pPr>
        <w:tabs>
          <w:tab w:val="right" w:pos="9360"/>
        </w:tabs>
      </w:pPr>
    </w:p>
    <w:tbl>
      <w:tblPr>
        <w:tblW w:w="0" w:type="auto"/>
        <w:tblLayout w:type="fixed"/>
        <w:tblLook w:val="01E0" w:firstRow="1" w:lastRow="1" w:firstColumn="1" w:lastColumn="1" w:noHBand="0" w:noVBand="0"/>
      </w:tblPr>
      <w:tblGrid>
        <w:gridCol w:w="9576"/>
      </w:tblGrid>
      <w:tr w:rsidR="00333B19" w:rsidTr="00345119">
        <w:tc>
          <w:tcPr>
            <w:tcW w:w="9576" w:type="dxa"/>
          </w:tcPr>
          <w:p w:rsidR="008423E4" w:rsidRPr="00861995" w:rsidRDefault="00583794" w:rsidP="002E1378">
            <w:pPr>
              <w:jc w:val="right"/>
            </w:pPr>
            <w:r>
              <w:t>C.S.H.B. 3246</w:t>
            </w:r>
          </w:p>
        </w:tc>
      </w:tr>
      <w:tr w:rsidR="00333B19" w:rsidTr="00345119">
        <w:tc>
          <w:tcPr>
            <w:tcW w:w="9576" w:type="dxa"/>
          </w:tcPr>
          <w:p w:rsidR="008423E4" w:rsidRPr="00861995" w:rsidRDefault="00583794" w:rsidP="00A206D9">
            <w:pPr>
              <w:jc w:val="right"/>
            </w:pPr>
            <w:r>
              <w:t xml:space="preserve">By: </w:t>
            </w:r>
            <w:r>
              <w:t>Darby</w:t>
            </w:r>
          </w:p>
        </w:tc>
      </w:tr>
      <w:tr w:rsidR="00333B19" w:rsidTr="00345119">
        <w:tc>
          <w:tcPr>
            <w:tcW w:w="9576" w:type="dxa"/>
          </w:tcPr>
          <w:p w:rsidR="008423E4" w:rsidRPr="00861995" w:rsidRDefault="00583794" w:rsidP="002E1378">
            <w:pPr>
              <w:jc w:val="right"/>
            </w:pPr>
            <w:r>
              <w:t>Energy Resources</w:t>
            </w:r>
          </w:p>
        </w:tc>
      </w:tr>
      <w:tr w:rsidR="00333B19" w:rsidTr="00345119">
        <w:tc>
          <w:tcPr>
            <w:tcW w:w="9576" w:type="dxa"/>
          </w:tcPr>
          <w:p w:rsidR="008423E4" w:rsidRDefault="00583794" w:rsidP="002E1378">
            <w:pPr>
              <w:jc w:val="right"/>
            </w:pPr>
            <w:r>
              <w:t>Committee Report (Substituted)</w:t>
            </w:r>
          </w:p>
        </w:tc>
      </w:tr>
    </w:tbl>
    <w:p w:rsidR="008423E4" w:rsidRDefault="00583794" w:rsidP="008423E4">
      <w:pPr>
        <w:tabs>
          <w:tab w:val="right" w:pos="9360"/>
        </w:tabs>
      </w:pPr>
    </w:p>
    <w:p w:rsidR="008423E4" w:rsidRPr="009524F7" w:rsidRDefault="00583794" w:rsidP="008423E4">
      <w:pPr>
        <w:rPr>
          <w:sz w:val="10"/>
        </w:rPr>
      </w:pPr>
    </w:p>
    <w:p w:rsidR="008423E4" w:rsidRPr="009524F7" w:rsidRDefault="00583794" w:rsidP="008423E4">
      <w:pPr>
        <w:rPr>
          <w:sz w:val="18"/>
        </w:rPr>
      </w:pPr>
    </w:p>
    <w:tbl>
      <w:tblPr>
        <w:tblW w:w="0" w:type="auto"/>
        <w:tblCellMar>
          <w:left w:w="115" w:type="dxa"/>
          <w:right w:w="115" w:type="dxa"/>
        </w:tblCellMar>
        <w:tblLook w:val="01E0" w:firstRow="1" w:lastRow="1" w:firstColumn="1" w:lastColumn="1" w:noHBand="0" w:noVBand="0"/>
      </w:tblPr>
      <w:tblGrid>
        <w:gridCol w:w="9576"/>
      </w:tblGrid>
      <w:tr w:rsidR="00333B19" w:rsidTr="00345119">
        <w:tc>
          <w:tcPr>
            <w:tcW w:w="9576" w:type="dxa"/>
          </w:tcPr>
          <w:p w:rsidR="008423E4" w:rsidRPr="00A8133F" w:rsidRDefault="00583794" w:rsidP="00B81884">
            <w:pPr>
              <w:rPr>
                <w:b/>
              </w:rPr>
            </w:pPr>
            <w:r w:rsidRPr="009C1E9A">
              <w:rPr>
                <w:b/>
                <w:u w:val="single"/>
              </w:rPr>
              <w:t>BACKGROUND AND PURPOSE</w:t>
            </w:r>
            <w:r>
              <w:rPr>
                <w:b/>
              </w:rPr>
              <w:t xml:space="preserve"> </w:t>
            </w:r>
          </w:p>
          <w:p w:rsidR="008423E4" w:rsidRDefault="00583794" w:rsidP="00B81884"/>
          <w:p w:rsidR="008423E4" w:rsidRDefault="00583794" w:rsidP="00B81884">
            <w:pPr>
              <w:pStyle w:val="Header"/>
              <w:tabs>
                <w:tab w:val="clear" w:pos="4320"/>
                <w:tab w:val="clear" w:pos="8640"/>
              </w:tabs>
              <w:jc w:val="both"/>
            </w:pPr>
            <w:r>
              <w:t>Although</w:t>
            </w:r>
            <w:r>
              <w:t xml:space="preserve"> the </w:t>
            </w:r>
            <w:r>
              <w:t>s</w:t>
            </w:r>
            <w:r>
              <w:t>tate promotes the recycling of fluid oil and gas waste</w:t>
            </w:r>
            <w:r>
              <w:t xml:space="preserve"> and</w:t>
            </w:r>
            <w:r>
              <w:t xml:space="preserve"> the </w:t>
            </w:r>
            <w:r>
              <w:t>l</w:t>
            </w:r>
            <w:r>
              <w:t>egislature</w:t>
            </w:r>
            <w:r>
              <w:t xml:space="preserve"> has</w:t>
            </w:r>
            <w:r>
              <w:t xml:space="preserve"> sought</w:t>
            </w:r>
            <w:r>
              <w:t xml:space="preserve"> in the past</w:t>
            </w:r>
            <w:r>
              <w:t xml:space="preserve"> to clarify ambiguities regarding the ownership of </w:t>
            </w:r>
            <w:r>
              <w:t>such</w:t>
            </w:r>
            <w:r>
              <w:t xml:space="preserve"> waste</w:t>
            </w:r>
            <w:r>
              <w:t xml:space="preserve">, concerns have been raised regarding </w:t>
            </w:r>
            <w:r>
              <w:t xml:space="preserve">an ambiguity </w:t>
            </w:r>
            <w:r>
              <w:t>relating to</w:t>
            </w:r>
            <w:r>
              <w:t xml:space="preserve"> ownership between</w:t>
            </w:r>
            <w:r>
              <w:t xml:space="preserve"> water haulers and oil and gas operators. </w:t>
            </w:r>
            <w:r>
              <w:t>C.S.</w:t>
            </w:r>
            <w:r>
              <w:t>H</w:t>
            </w:r>
            <w:r>
              <w:t>.</w:t>
            </w:r>
            <w:r>
              <w:t>B</w:t>
            </w:r>
            <w:r>
              <w:t>.</w:t>
            </w:r>
            <w:r>
              <w:t xml:space="preserve"> 3246 seeks to address this oversight </w:t>
            </w:r>
            <w:r>
              <w:t>by addressing a situation i</w:t>
            </w:r>
            <w:r>
              <w:t xml:space="preserve">n which </w:t>
            </w:r>
            <w:r w:rsidRPr="00DD7F94">
              <w:t>fluid oil and gas waste is produced and u</w:t>
            </w:r>
            <w:r>
              <w:t>sed</w:t>
            </w:r>
            <w:r w:rsidRPr="00DD7F94">
              <w:t xml:space="preserve"> by</w:t>
            </w:r>
            <w:r>
              <w:t xml:space="preserve"> </w:t>
            </w:r>
            <w:r w:rsidRPr="00DD7F94">
              <w:t>a person who takes possession of that waste for the purpose of treating the waste for a subsequent beneficial use</w:t>
            </w:r>
            <w:r>
              <w:t>.</w:t>
            </w:r>
          </w:p>
          <w:p w:rsidR="008423E4" w:rsidRPr="00E26B13" w:rsidRDefault="00583794" w:rsidP="00B81884">
            <w:pPr>
              <w:rPr>
                <w:b/>
              </w:rPr>
            </w:pPr>
          </w:p>
        </w:tc>
      </w:tr>
      <w:tr w:rsidR="00333B19" w:rsidTr="00345119">
        <w:tc>
          <w:tcPr>
            <w:tcW w:w="9576" w:type="dxa"/>
          </w:tcPr>
          <w:p w:rsidR="0017725B" w:rsidRDefault="00583794" w:rsidP="00B81884">
            <w:pPr>
              <w:rPr>
                <w:b/>
                <w:u w:val="single"/>
              </w:rPr>
            </w:pPr>
            <w:r>
              <w:rPr>
                <w:b/>
                <w:u w:val="single"/>
              </w:rPr>
              <w:t>CRIMINAL JUSTICE IMPACT</w:t>
            </w:r>
          </w:p>
          <w:p w:rsidR="0017725B" w:rsidRDefault="00583794" w:rsidP="00B81884">
            <w:pPr>
              <w:rPr>
                <w:b/>
                <w:u w:val="single"/>
              </w:rPr>
            </w:pPr>
          </w:p>
          <w:p w:rsidR="002D2964" w:rsidRPr="002D2964" w:rsidRDefault="00583794" w:rsidP="00B81884">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583794" w:rsidP="00B81884">
            <w:pPr>
              <w:rPr>
                <w:b/>
                <w:u w:val="single"/>
              </w:rPr>
            </w:pPr>
          </w:p>
        </w:tc>
      </w:tr>
      <w:tr w:rsidR="00333B19" w:rsidTr="00345119">
        <w:tc>
          <w:tcPr>
            <w:tcW w:w="9576" w:type="dxa"/>
          </w:tcPr>
          <w:p w:rsidR="008423E4" w:rsidRPr="00A8133F" w:rsidRDefault="00583794" w:rsidP="00B81884">
            <w:pPr>
              <w:rPr>
                <w:b/>
              </w:rPr>
            </w:pPr>
            <w:r w:rsidRPr="009C1E9A">
              <w:rPr>
                <w:b/>
                <w:u w:val="single"/>
              </w:rPr>
              <w:t>RULEMAKING AUTHORITY</w:t>
            </w:r>
            <w:r>
              <w:rPr>
                <w:b/>
              </w:rPr>
              <w:t xml:space="preserve"> </w:t>
            </w:r>
          </w:p>
          <w:p w:rsidR="008423E4" w:rsidRDefault="00583794" w:rsidP="00B81884"/>
          <w:p w:rsidR="002D2964" w:rsidRDefault="00583794" w:rsidP="00B81884">
            <w:pPr>
              <w:pStyle w:val="Header"/>
              <w:tabs>
                <w:tab w:val="clear" w:pos="4320"/>
                <w:tab w:val="clear" w:pos="8640"/>
              </w:tabs>
              <w:jc w:val="both"/>
            </w:pPr>
            <w:r>
              <w:t>It is the com</w:t>
            </w:r>
            <w:r>
              <w:t>mittee's opinion that this bill does not expressly grant any additional rulemaking authority to a state officer, department, agency, or institution.</w:t>
            </w:r>
          </w:p>
          <w:p w:rsidR="008423E4" w:rsidRPr="00E21FDC" w:rsidRDefault="00583794" w:rsidP="00B81884">
            <w:pPr>
              <w:rPr>
                <w:b/>
              </w:rPr>
            </w:pPr>
          </w:p>
        </w:tc>
      </w:tr>
      <w:tr w:rsidR="00333B19" w:rsidTr="00345119">
        <w:tc>
          <w:tcPr>
            <w:tcW w:w="9576" w:type="dxa"/>
          </w:tcPr>
          <w:p w:rsidR="008423E4" w:rsidRPr="00A8133F" w:rsidRDefault="00583794" w:rsidP="00B81884">
            <w:pPr>
              <w:rPr>
                <w:b/>
              </w:rPr>
            </w:pPr>
            <w:r w:rsidRPr="009C1E9A">
              <w:rPr>
                <w:b/>
                <w:u w:val="single"/>
              </w:rPr>
              <w:t>ANALYSIS</w:t>
            </w:r>
            <w:r>
              <w:rPr>
                <w:b/>
              </w:rPr>
              <w:t xml:space="preserve"> </w:t>
            </w:r>
          </w:p>
          <w:p w:rsidR="008423E4" w:rsidRDefault="00583794" w:rsidP="00B81884"/>
          <w:p w:rsidR="008423E4" w:rsidRDefault="00583794" w:rsidP="00B81884">
            <w:pPr>
              <w:pStyle w:val="Header"/>
              <w:tabs>
                <w:tab w:val="clear" w:pos="4320"/>
                <w:tab w:val="clear" w:pos="8640"/>
              </w:tabs>
              <w:jc w:val="both"/>
            </w:pPr>
            <w:r>
              <w:t>C.S.</w:t>
            </w:r>
            <w:r>
              <w:t xml:space="preserve">H.B. 3246 amends the Natural Resources Code to </w:t>
            </w:r>
            <w:r>
              <w:t>establish</w:t>
            </w:r>
            <w:r>
              <w:t xml:space="preserve"> that</w:t>
            </w:r>
            <w:r>
              <w:t xml:space="preserve">, unless otherwise expressly provided by a legally binding document, </w:t>
            </w:r>
            <w:r>
              <w:t>when</w:t>
            </w:r>
            <w:r>
              <w:t xml:space="preserve"> fluid oil and gas waste is produced and </w:t>
            </w:r>
            <w:r>
              <w:t>used</w:t>
            </w:r>
            <w:r>
              <w:t xml:space="preserve"> by </w:t>
            </w:r>
            <w:r w:rsidRPr="002D2964">
              <w:t>a person who takes possession of that waste for the purpose of treating the waste for a subsequent beneficial use</w:t>
            </w:r>
            <w:r>
              <w:t xml:space="preserve">, </w:t>
            </w:r>
            <w:r w:rsidRPr="00290180">
              <w:t>the waste</w:t>
            </w:r>
            <w:r>
              <w:t xml:space="preserve"> </w:t>
            </w:r>
            <w:r w:rsidRPr="00290180">
              <w:t>is consid</w:t>
            </w:r>
            <w:r w:rsidRPr="00290180">
              <w:t>ered</w:t>
            </w:r>
            <w:r>
              <w:t xml:space="preserve"> to be </w:t>
            </w:r>
            <w:r w:rsidRPr="002D2964">
              <w:t>the property of the person who takes possession of it for the purpose of treating the waste for subsequent beneficial use until the person transfers the waste or treated waste to another person for disposal or use</w:t>
            </w:r>
            <w:r>
              <w:t>.</w:t>
            </w:r>
            <w:r>
              <w:t xml:space="preserve"> The bill </w:t>
            </w:r>
            <w:r>
              <w:t xml:space="preserve">explicitly </w:t>
            </w:r>
            <w:r>
              <w:t>includes</w:t>
            </w:r>
            <w:r>
              <w:t xml:space="preserve"> </w:t>
            </w:r>
            <w:r>
              <w:t>a</w:t>
            </w:r>
            <w:r>
              <w:t>n oil or gas lease and a surface use agreement</w:t>
            </w:r>
            <w:r>
              <w:t xml:space="preserve"> among the legally binding documents that</w:t>
            </w:r>
            <w:r>
              <w:t xml:space="preserve"> may</w:t>
            </w:r>
            <w:r>
              <w:t xml:space="preserve"> provide </w:t>
            </w:r>
            <w:r>
              <w:t xml:space="preserve">an </w:t>
            </w:r>
            <w:r>
              <w:t xml:space="preserve">exception to provisions relating to the </w:t>
            </w:r>
            <w:r w:rsidRPr="00B9461D">
              <w:t>ownership of fluid oil and gas waste transferred for treatment and subsequent beneficial use</w:t>
            </w:r>
            <w:r>
              <w:t>.</w:t>
            </w:r>
            <w:r>
              <w:t xml:space="preserve"> </w:t>
            </w:r>
          </w:p>
          <w:p w:rsidR="008423E4" w:rsidRPr="00835628" w:rsidRDefault="00583794" w:rsidP="00B81884">
            <w:pPr>
              <w:rPr>
                <w:b/>
              </w:rPr>
            </w:pPr>
          </w:p>
        </w:tc>
      </w:tr>
      <w:tr w:rsidR="00333B19" w:rsidTr="00345119">
        <w:tc>
          <w:tcPr>
            <w:tcW w:w="9576" w:type="dxa"/>
          </w:tcPr>
          <w:p w:rsidR="008423E4" w:rsidRPr="00A8133F" w:rsidRDefault="00583794" w:rsidP="00B81884">
            <w:pPr>
              <w:rPr>
                <w:b/>
              </w:rPr>
            </w:pPr>
            <w:r w:rsidRPr="009C1E9A">
              <w:rPr>
                <w:b/>
                <w:u w:val="single"/>
              </w:rPr>
              <w:t>EFFECTIVE DATE</w:t>
            </w:r>
            <w:r>
              <w:rPr>
                <w:b/>
              </w:rPr>
              <w:t xml:space="preserve"> </w:t>
            </w:r>
          </w:p>
          <w:p w:rsidR="008423E4" w:rsidRDefault="00583794" w:rsidP="00B81884"/>
          <w:p w:rsidR="008423E4" w:rsidRPr="003624F2" w:rsidRDefault="00583794" w:rsidP="00B81884">
            <w:pPr>
              <w:pStyle w:val="Header"/>
              <w:tabs>
                <w:tab w:val="clear" w:pos="4320"/>
                <w:tab w:val="clear" w:pos="8640"/>
              </w:tabs>
              <w:jc w:val="both"/>
            </w:pPr>
            <w:r>
              <w:t>September 1, 2019.</w:t>
            </w:r>
          </w:p>
          <w:p w:rsidR="008423E4" w:rsidRPr="00233FDB" w:rsidRDefault="00583794" w:rsidP="00B81884">
            <w:pPr>
              <w:rPr>
                <w:b/>
              </w:rPr>
            </w:pPr>
          </w:p>
        </w:tc>
      </w:tr>
      <w:tr w:rsidR="00333B19" w:rsidTr="00345119">
        <w:tc>
          <w:tcPr>
            <w:tcW w:w="9576" w:type="dxa"/>
          </w:tcPr>
          <w:p w:rsidR="00A206D9" w:rsidRDefault="00583794" w:rsidP="00B81884">
            <w:pPr>
              <w:jc w:val="both"/>
              <w:rPr>
                <w:b/>
                <w:u w:val="single"/>
              </w:rPr>
            </w:pPr>
            <w:r>
              <w:rPr>
                <w:b/>
                <w:u w:val="single"/>
              </w:rPr>
              <w:t>COMPARISON OF ORIGINAL AND SUBSTITUTE</w:t>
            </w:r>
          </w:p>
          <w:p w:rsidR="003F5BBD" w:rsidRDefault="00583794" w:rsidP="00B81884">
            <w:pPr>
              <w:jc w:val="both"/>
            </w:pPr>
          </w:p>
          <w:p w:rsidR="003F5BBD" w:rsidRDefault="00583794" w:rsidP="00B81884">
            <w:pPr>
              <w:jc w:val="both"/>
            </w:pPr>
            <w:r>
              <w:t xml:space="preserve">While C.S.H.B. 3246 may differ from the original in minor or nonsubstantive ways, the following summarizes the substantial differences between the introduced and committee substitute versions of </w:t>
            </w:r>
            <w:r>
              <w:t>the bill.</w:t>
            </w:r>
          </w:p>
          <w:p w:rsidR="003F5BBD" w:rsidRDefault="00583794" w:rsidP="00B81884">
            <w:pPr>
              <w:jc w:val="both"/>
            </w:pPr>
          </w:p>
          <w:p w:rsidR="003F5BBD" w:rsidRPr="003F5BBD" w:rsidRDefault="00583794" w:rsidP="00B81884">
            <w:pPr>
              <w:jc w:val="both"/>
            </w:pPr>
            <w:r>
              <w:t xml:space="preserve">The substitute includes a provision </w:t>
            </w:r>
            <w:r w:rsidRPr="001372E2">
              <w:t>explicitly includ</w:t>
            </w:r>
            <w:r>
              <w:t>ing</w:t>
            </w:r>
            <w:r w:rsidRPr="001372E2">
              <w:t xml:space="preserve"> an oil or gas lease and a surface use agreement among the legally binding documents that may provide an exception to provisions relating to the ownership of fluid oil and gas waste transfe</w:t>
            </w:r>
            <w:r w:rsidRPr="001372E2">
              <w:t xml:space="preserve">rred for treatment and subsequent beneficial use. </w:t>
            </w:r>
          </w:p>
        </w:tc>
      </w:tr>
      <w:tr w:rsidR="00333B19" w:rsidTr="00345119">
        <w:tc>
          <w:tcPr>
            <w:tcW w:w="9576" w:type="dxa"/>
          </w:tcPr>
          <w:p w:rsidR="00A206D9" w:rsidRPr="009C1E9A" w:rsidRDefault="00583794" w:rsidP="00B81884">
            <w:pPr>
              <w:rPr>
                <w:b/>
                <w:u w:val="single"/>
              </w:rPr>
            </w:pPr>
          </w:p>
        </w:tc>
      </w:tr>
      <w:tr w:rsidR="00333B19" w:rsidTr="00B81884">
        <w:trPr>
          <w:trHeight w:val="80"/>
        </w:trPr>
        <w:tc>
          <w:tcPr>
            <w:tcW w:w="9576" w:type="dxa"/>
          </w:tcPr>
          <w:p w:rsidR="00A206D9" w:rsidRPr="00A206D9" w:rsidRDefault="00583794" w:rsidP="00B81884">
            <w:pPr>
              <w:jc w:val="both"/>
            </w:pPr>
          </w:p>
        </w:tc>
      </w:tr>
    </w:tbl>
    <w:p w:rsidR="008423E4" w:rsidRPr="00B81884" w:rsidRDefault="00583794" w:rsidP="008423E4">
      <w:pPr>
        <w:spacing w:line="480" w:lineRule="auto"/>
        <w:jc w:val="both"/>
        <w:rPr>
          <w:rFonts w:ascii="Arial" w:hAnsi="Arial"/>
          <w:sz w:val="8"/>
          <w:szCs w:val="16"/>
        </w:rPr>
      </w:pPr>
    </w:p>
    <w:p w:rsidR="004108C3" w:rsidRPr="00B81884" w:rsidRDefault="00583794" w:rsidP="008423E4">
      <w:pPr>
        <w:rPr>
          <w:sz w:val="6"/>
        </w:rPr>
      </w:pPr>
    </w:p>
    <w:sectPr w:rsidR="004108C3" w:rsidRPr="00B8188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3794">
      <w:r>
        <w:separator/>
      </w:r>
    </w:p>
  </w:endnote>
  <w:endnote w:type="continuationSeparator" w:id="0">
    <w:p w:rsidR="00000000" w:rsidRDefault="0058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09" w:rsidRDefault="00583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33B19" w:rsidTr="009C1E9A">
      <w:trPr>
        <w:cantSplit/>
      </w:trPr>
      <w:tc>
        <w:tcPr>
          <w:tcW w:w="0" w:type="pct"/>
        </w:tcPr>
        <w:p w:rsidR="00137D90" w:rsidRDefault="00583794" w:rsidP="009C1E9A">
          <w:pPr>
            <w:pStyle w:val="Footer"/>
            <w:tabs>
              <w:tab w:val="clear" w:pos="8640"/>
              <w:tab w:val="right" w:pos="9360"/>
            </w:tabs>
          </w:pPr>
        </w:p>
      </w:tc>
      <w:tc>
        <w:tcPr>
          <w:tcW w:w="2395" w:type="pct"/>
        </w:tcPr>
        <w:p w:rsidR="00137D90" w:rsidRPr="00B81884" w:rsidRDefault="00583794" w:rsidP="009C1E9A">
          <w:pPr>
            <w:pStyle w:val="Footer"/>
            <w:tabs>
              <w:tab w:val="clear" w:pos="8640"/>
              <w:tab w:val="right" w:pos="9360"/>
            </w:tabs>
            <w:rPr>
              <w:sz w:val="2"/>
            </w:rPr>
          </w:pPr>
        </w:p>
        <w:p w:rsidR="00137D90" w:rsidRDefault="00583794" w:rsidP="009C1E9A">
          <w:pPr>
            <w:pStyle w:val="Footer"/>
            <w:tabs>
              <w:tab w:val="clear" w:pos="8640"/>
              <w:tab w:val="right" w:pos="9360"/>
            </w:tabs>
          </w:pPr>
        </w:p>
      </w:tc>
      <w:tc>
        <w:tcPr>
          <w:tcW w:w="2453" w:type="pct"/>
        </w:tcPr>
        <w:p w:rsidR="00137D90" w:rsidRDefault="00583794" w:rsidP="009C1E9A">
          <w:pPr>
            <w:pStyle w:val="Footer"/>
            <w:tabs>
              <w:tab w:val="clear" w:pos="8640"/>
              <w:tab w:val="right" w:pos="9360"/>
            </w:tabs>
            <w:jc w:val="right"/>
          </w:pPr>
        </w:p>
      </w:tc>
    </w:tr>
    <w:tr w:rsidR="00333B19" w:rsidTr="009C1E9A">
      <w:trPr>
        <w:cantSplit/>
      </w:trPr>
      <w:tc>
        <w:tcPr>
          <w:tcW w:w="0" w:type="pct"/>
        </w:tcPr>
        <w:p w:rsidR="00EC379B" w:rsidRDefault="00583794" w:rsidP="009C1E9A">
          <w:pPr>
            <w:pStyle w:val="Footer"/>
            <w:tabs>
              <w:tab w:val="clear" w:pos="8640"/>
              <w:tab w:val="right" w:pos="9360"/>
            </w:tabs>
          </w:pPr>
        </w:p>
      </w:tc>
      <w:tc>
        <w:tcPr>
          <w:tcW w:w="2395" w:type="pct"/>
        </w:tcPr>
        <w:p w:rsidR="00EC379B" w:rsidRPr="009C1E9A" w:rsidRDefault="00583794" w:rsidP="002E1378">
          <w:pPr>
            <w:pStyle w:val="Footer"/>
            <w:tabs>
              <w:tab w:val="clear" w:pos="8640"/>
              <w:tab w:val="right" w:pos="9360"/>
            </w:tabs>
            <w:rPr>
              <w:rFonts w:ascii="Shruti" w:hAnsi="Shruti"/>
              <w:sz w:val="22"/>
            </w:rPr>
          </w:pPr>
          <w:r>
            <w:rPr>
              <w:rFonts w:ascii="Shruti" w:hAnsi="Shruti"/>
              <w:sz w:val="22"/>
            </w:rPr>
            <w:t>86R 24021</w:t>
          </w:r>
        </w:p>
      </w:tc>
      <w:tc>
        <w:tcPr>
          <w:tcW w:w="2453" w:type="pct"/>
        </w:tcPr>
        <w:p w:rsidR="00EC379B" w:rsidRDefault="00583794" w:rsidP="009C1E9A">
          <w:pPr>
            <w:pStyle w:val="Footer"/>
            <w:tabs>
              <w:tab w:val="clear" w:pos="8640"/>
              <w:tab w:val="right" w:pos="9360"/>
            </w:tabs>
            <w:jc w:val="right"/>
          </w:pPr>
          <w:r>
            <w:fldChar w:fldCharType="begin"/>
          </w:r>
          <w:r>
            <w:instrText xml:space="preserve"> DOCPROPERTY  OTID  \* MERGEFORMAT </w:instrText>
          </w:r>
          <w:r>
            <w:fldChar w:fldCharType="separate"/>
          </w:r>
          <w:r>
            <w:t>19.93.213</w:t>
          </w:r>
          <w:r>
            <w:fldChar w:fldCharType="end"/>
          </w:r>
        </w:p>
      </w:tc>
    </w:tr>
    <w:tr w:rsidR="00333B19" w:rsidTr="009C1E9A">
      <w:trPr>
        <w:cantSplit/>
      </w:trPr>
      <w:tc>
        <w:tcPr>
          <w:tcW w:w="0" w:type="pct"/>
        </w:tcPr>
        <w:p w:rsidR="00EC379B" w:rsidRDefault="00583794" w:rsidP="009C1E9A">
          <w:pPr>
            <w:pStyle w:val="Footer"/>
            <w:tabs>
              <w:tab w:val="clear" w:pos="4320"/>
              <w:tab w:val="clear" w:pos="8640"/>
              <w:tab w:val="left" w:pos="2865"/>
            </w:tabs>
          </w:pPr>
        </w:p>
      </w:tc>
      <w:tc>
        <w:tcPr>
          <w:tcW w:w="2395" w:type="pct"/>
        </w:tcPr>
        <w:p w:rsidR="00EC379B" w:rsidRPr="009C1E9A" w:rsidRDefault="00583794" w:rsidP="009C1E9A">
          <w:pPr>
            <w:pStyle w:val="Footer"/>
            <w:tabs>
              <w:tab w:val="clear" w:pos="4320"/>
              <w:tab w:val="clear" w:pos="8640"/>
              <w:tab w:val="left" w:pos="2865"/>
            </w:tabs>
            <w:rPr>
              <w:rFonts w:ascii="Shruti" w:hAnsi="Shruti"/>
              <w:sz w:val="22"/>
            </w:rPr>
          </w:pPr>
          <w:r>
            <w:rPr>
              <w:rFonts w:ascii="Shruti" w:hAnsi="Shruti"/>
              <w:sz w:val="22"/>
            </w:rPr>
            <w:t>Substitute Document Number: 86R 22947</w:t>
          </w:r>
        </w:p>
      </w:tc>
      <w:tc>
        <w:tcPr>
          <w:tcW w:w="2453" w:type="pct"/>
        </w:tcPr>
        <w:p w:rsidR="00EC379B" w:rsidRPr="00B81884" w:rsidRDefault="00583794" w:rsidP="006D504F">
          <w:pPr>
            <w:pStyle w:val="Footer"/>
            <w:rPr>
              <w:rStyle w:val="PageNumber"/>
              <w:sz w:val="8"/>
            </w:rPr>
          </w:pPr>
        </w:p>
        <w:p w:rsidR="00EC379B" w:rsidRDefault="00583794" w:rsidP="009C1E9A">
          <w:pPr>
            <w:pStyle w:val="Footer"/>
            <w:tabs>
              <w:tab w:val="clear" w:pos="8640"/>
              <w:tab w:val="right" w:pos="9360"/>
            </w:tabs>
            <w:jc w:val="right"/>
          </w:pPr>
        </w:p>
      </w:tc>
    </w:tr>
    <w:tr w:rsidR="00333B19" w:rsidTr="009C1E9A">
      <w:trPr>
        <w:cantSplit/>
        <w:trHeight w:val="323"/>
      </w:trPr>
      <w:tc>
        <w:tcPr>
          <w:tcW w:w="0" w:type="pct"/>
          <w:gridSpan w:val="3"/>
        </w:tcPr>
        <w:p w:rsidR="00EC379B" w:rsidRPr="009524F7" w:rsidRDefault="00583794" w:rsidP="009C1E9A">
          <w:pPr>
            <w:pStyle w:val="Footer"/>
            <w:jc w:val="center"/>
            <w:rPr>
              <w:rStyle w:val="PageNumber"/>
              <w:sz w:val="22"/>
              <w:szCs w:val="22"/>
            </w:rPr>
          </w:pPr>
          <w:r w:rsidRPr="009524F7">
            <w:rPr>
              <w:rStyle w:val="PageNumber"/>
              <w:sz w:val="22"/>
              <w:szCs w:val="22"/>
            </w:rPr>
            <w:fldChar w:fldCharType="begin"/>
          </w:r>
          <w:r w:rsidRPr="009524F7">
            <w:rPr>
              <w:rStyle w:val="PageNumber"/>
              <w:sz w:val="22"/>
              <w:szCs w:val="22"/>
            </w:rPr>
            <w:instrText xml:space="preserve">PAGE  </w:instrText>
          </w:r>
          <w:r w:rsidRPr="009524F7">
            <w:rPr>
              <w:rStyle w:val="PageNumber"/>
              <w:sz w:val="22"/>
              <w:szCs w:val="22"/>
            </w:rPr>
            <w:fldChar w:fldCharType="separate"/>
          </w:r>
          <w:r>
            <w:rPr>
              <w:rStyle w:val="PageNumber"/>
              <w:noProof/>
              <w:sz w:val="22"/>
              <w:szCs w:val="22"/>
            </w:rPr>
            <w:t>1</w:t>
          </w:r>
          <w:r w:rsidRPr="009524F7">
            <w:rPr>
              <w:rStyle w:val="PageNumber"/>
              <w:sz w:val="22"/>
              <w:szCs w:val="22"/>
            </w:rPr>
            <w:fldChar w:fldCharType="end"/>
          </w:r>
        </w:p>
        <w:p w:rsidR="00EC379B" w:rsidRDefault="00583794" w:rsidP="009C1E9A">
          <w:pPr>
            <w:pStyle w:val="Footer"/>
            <w:tabs>
              <w:tab w:val="clear" w:pos="8640"/>
              <w:tab w:val="right" w:pos="9360"/>
            </w:tabs>
            <w:jc w:val="center"/>
          </w:pPr>
        </w:p>
      </w:tc>
    </w:tr>
  </w:tbl>
  <w:p w:rsidR="00EC379B" w:rsidRPr="00FF6F72" w:rsidRDefault="0058379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09" w:rsidRDefault="00583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3794">
      <w:r>
        <w:separator/>
      </w:r>
    </w:p>
  </w:footnote>
  <w:footnote w:type="continuationSeparator" w:id="0">
    <w:p w:rsidR="00000000" w:rsidRDefault="0058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09" w:rsidRDefault="00583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09" w:rsidRDefault="00583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09" w:rsidRDefault="00583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19"/>
    <w:rsid w:val="00333B19"/>
    <w:rsid w:val="0058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06094E-7DA0-4CD8-BFBA-501FC2C0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D2964"/>
    <w:rPr>
      <w:sz w:val="16"/>
      <w:szCs w:val="16"/>
    </w:rPr>
  </w:style>
  <w:style w:type="paragraph" w:styleId="CommentText">
    <w:name w:val="annotation text"/>
    <w:basedOn w:val="Normal"/>
    <w:link w:val="CommentTextChar"/>
    <w:semiHidden/>
    <w:unhideWhenUsed/>
    <w:rsid w:val="002D2964"/>
    <w:rPr>
      <w:sz w:val="20"/>
      <w:szCs w:val="20"/>
    </w:rPr>
  </w:style>
  <w:style w:type="character" w:customStyle="1" w:styleId="CommentTextChar">
    <w:name w:val="Comment Text Char"/>
    <w:basedOn w:val="DefaultParagraphFont"/>
    <w:link w:val="CommentText"/>
    <w:semiHidden/>
    <w:rsid w:val="002D2964"/>
  </w:style>
  <w:style w:type="paragraph" w:styleId="CommentSubject">
    <w:name w:val="annotation subject"/>
    <w:basedOn w:val="CommentText"/>
    <w:next w:val="CommentText"/>
    <w:link w:val="CommentSubjectChar"/>
    <w:semiHidden/>
    <w:unhideWhenUsed/>
    <w:rsid w:val="002D2964"/>
    <w:rPr>
      <w:b/>
      <w:bCs/>
    </w:rPr>
  </w:style>
  <w:style w:type="character" w:customStyle="1" w:styleId="CommentSubjectChar">
    <w:name w:val="Comment Subject Char"/>
    <w:basedOn w:val="CommentTextChar"/>
    <w:link w:val="CommentSubject"/>
    <w:semiHidden/>
    <w:rsid w:val="002D2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2125</Characters>
  <Application>Microsoft Office Word</Application>
  <DocSecurity>4</DocSecurity>
  <Lines>60</Lines>
  <Paragraphs>18</Paragraphs>
  <ScaleCrop>false</ScaleCrop>
  <HeadingPairs>
    <vt:vector size="2" baseType="variant">
      <vt:variant>
        <vt:lpstr>Title</vt:lpstr>
      </vt:variant>
      <vt:variant>
        <vt:i4>1</vt:i4>
      </vt:variant>
    </vt:vector>
  </HeadingPairs>
  <TitlesOfParts>
    <vt:vector size="1" baseType="lpstr">
      <vt:lpstr>BA - HB03246 (Committee Report (Substituted))</vt:lpstr>
    </vt:vector>
  </TitlesOfParts>
  <Company>State of Texas</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24021</dc:subject>
  <dc:creator>State of Texas</dc:creator>
  <dc:description>HB 3246 by Darby-(H)Energy Resources (Substitute Document Number: 86R 22947)</dc:description>
  <cp:lastModifiedBy>Scotty Wimberley</cp:lastModifiedBy>
  <cp:revision>2</cp:revision>
  <cp:lastPrinted>2003-11-26T17:21:00Z</cp:lastPrinted>
  <dcterms:created xsi:type="dcterms:W3CDTF">2019-04-05T16:06:00Z</dcterms:created>
  <dcterms:modified xsi:type="dcterms:W3CDTF">2019-04-05T16:06:00Z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19.93.213</vt:lpwstr>
  </property>
</Properties>
</file>