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305AD" w:rsidTr="00345119">
        <w:tc>
          <w:tcPr>
            <w:tcW w:w="9576" w:type="dxa"/>
            <w:noWrap/>
          </w:tcPr>
          <w:p w:rsidR="008423E4" w:rsidRPr="0022177D" w:rsidRDefault="00E8670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86702" w:rsidP="008423E4">
      <w:pPr>
        <w:jc w:val="center"/>
      </w:pPr>
    </w:p>
    <w:p w:rsidR="008423E4" w:rsidRPr="00B31F0E" w:rsidRDefault="00E86702" w:rsidP="008423E4"/>
    <w:p w:rsidR="008423E4" w:rsidRPr="00742794" w:rsidRDefault="00E8670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05AD" w:rsidTr="00345119">
        <w:tc>
          <w:tcPr>
            <w:tcW w:w="9576" w:type="dxa"/>
          </w:tcPr>
          <w:p w:rsidR="008423E4" w:rsidRPr="00861995" w:rsidRDefault="00E86702" w:rsidP="00345119">
            <w:pPr>
              <w:jc w:val="right"/>
            </w:pPr>
            <w:r>
              <w:t>C.S.H.B.</w:t>
            </w:r>
            <w:r>
              <w:t xml:space="preserve"> 3247</w:t>
            </w:r>
          </w:p>
        </w:tc>
      </w:tr>
      <w:tr w:rsidR="009305AD" w:rsidTr="00345119">
        <w:tc>
          <w:tcPr>
            <w:tcW w:w="9576" w:type="dxa"/>
          </w:tcPr>
          <w:p w:rsidR="008423E4" w:rsidRPr="00861995" w:rsidRDefault="00E86702" w:rsidP="009A6F0A">
            <w:pPr>
              <w:jc w:val="right"/>
            </w:pPr>
            <w:r>
              <w:t xml:space="preserve">By: </w:t>
            </w:r>
            <w:r>
              <w:t>Martinez</w:t>
            </w:r>
          </w:p>
        </w:tc>
      </w:tr>
      <w:tr w:rsidR="009305AD" w:rsidTr="00345119">
        <w:tc>
          <w:tcPr>
            <w:tcW w:w="9576" w:type="dxa"/>
          </w:tcPr>
          <w:p w:rsidR="008423E4" w:rsidRPr="00861995" w:rsidRDefault="00E86702" w:rsidP="00345119">
            <w:pPr>
              <w:jc w:val="right"/>
            </w:pPr>
            <w:r>
              <w:t>Pensions, Investments &amp; Financial Services</w:t>
            </w:r>
          </w:p>
        </w:tc>
      </w:tr>
      <w:tr w:rsidR="009305AD" w:rsidTr="00345119">
        <w:tc>
          <w:tcPr>
            <w:tcW w:w="9576" w:type="dxa"/>
          </w:tcPr>
          <w:p w:rsidR="008423E4" w:rsidRDefault="00E8670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86702" w:rsidP="008423E4">
      <w:pPr>
        <w:tabs>
          <w:tab w:val="right" w:pos="9360"/>
        </w:tabs>
      </w:pPr>
    </w:p>
    <w:p w:rsidR="008423E4" w:rsidRDefault="00E86702" w:rsidP="008423E4"/>
    <w:p w:rsidR="008423E4" w:rsidRDefault="00E8670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305AD" w:rsidTr="00345119">
        <w:tc>
          <w:tcPr>
            <w:tcW w:w="9576" w:type="dxa"/>
          </w:tcPr>
          <w:p w:rsidR="008423E4" w:rsidRPr="00A8133F" w:rsidRDefault="00E86702" w:rsidP="00AF43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86702" w:rsidP="00AF4330"/>
          <w:p w:rsidR="008423E4" w:rsidRDefault="00E86702" w:rsidP="00AF4330">
            <w:pPr>
              <w:pStyle w:val="Header"/>
              <w:jc w:val="both"/>
            </w:pPr>
            <w:r>
              <w:t>It has been suggested that</w:t>
            </w:r>
            <w:r>
              <w:t xml:space="preserve"> changes to </w:t>
            </w:r>
            <w:r>
              <w:t xml:space="preserve">laws </w:t>
            </w:r>
            <w:r>
              <w:t>governing</w:t>
            </w:r>
            <w:r>
              <w:t xml:space="preserve"> the </w:t>
            </w:r>
            <w:r>
              <w:t xml:space="preserve">Texas Emergency Services Retirement System </w:t>
            </w:r>
            <w:r>
              <w:t>(</w:t>
            </w:r>
            <w:r>
              <w:t xml:space="preserve">TESRS) </w:t>
            </w:r>
            <w:r>
              <w:t>are needed</w:t>
            </w:r>
            <w:r>
              <w:t xml:space="preserve"> to address administrative issues, </w:t>
            </w:r>
            <w:r>
              <w:t xml:space="preserve">provide </w:t>
            </w:r>
            <w:r>
              <w:t xml:space="preserve">for </w:t>
            </w:r>
            <w:r>
              <w:t>greater</w:t>
            </w:r>
            <w:r>
              <w:t xml:space="preserve"> participation, and eliminate gaps in coverage. </w:t>
            </w:r>
            <w:r>
              <w:t>C.S.H.B.</w:t>
            </w:r>
            <w:r>
              <w:t xml:space="preserve"> 3247 </w:t>
            </w:r>
            <w:r>
              <w:t xml:space="preserve">seeks to address this issue by </w:t>
            </w:r>
            <w:r>
              <w:t>updat</w:t>
            </w:r>
            <w:r>
              <w:t>ing</w:t>
            </w:r>
            <w:r>
              <w:t xml:space="preserve"> </w:t>
            </w:r>
            <w:r>
              <w:t xml:space="preserve">statutory </w:t>
            </w:r>
            <w:r>
              <w:t>language and provid</w:t>
            </w:r>
            <w:r>
              <w:t>ing</w:t>
            </w:r>
            <w:r>
              <w:t xml:space="preserve"> clarification in </w:t>
            </w:r>
            <w:r>
              <w:t>those laws</w:t>
            </w:r>
            <w:r>
              <w:t xml:space="preserve"> in order to protect th</w:t>
            </w:r>
            <w:r>
              <w:t xml:space="preserve">e actuarial soundness of </w:t>
            </w:r>
            <w:r>
              <w:t>TESRS</w:t>
            </w:r>
            <w:r>
              <w:t xml:space="preserve"> and provide members with a better, more flexible </w:t>
            </w:r>
            <w:r>
              <w:t>TESRS</w:t>
            </w:r>
            <w:r>
              <w:t xml:space="preserve">. </w:t>
            </w:r>
          </w:p>
          <w:p w:rsidR="008423E4" w:rsidRPr="00E26B13" w:rsidRDefault="00E86702" w:rsidP="00AF4330">
            <w:pPr>
              <w:rPr>
                <w:b/>
              </w:rPr>
            </w:pPr>
          </w:p>
        </w:tc>
      </w:tr>
      <w:tr w:rsidR="009305AD" w:rsidTr="00345119">
        <w:tc>
          <w:tcPr>
            <w:tcW w:w="9576" w:type="dxa"/>
          </w:tcPr>
          <w:p w:rsidR="0017725B" w:rsidRDefault="00E86702" w:rsidP="00AF43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86702" w:rsidP="00AF4330">
            <w:pPr>
              <w:rPr>
                <w:b/>
                <w:u w:val="single"/>
              </w:rPr>
            </w:pPr>
          </w:p>
          <w:p w:rsidR="00AE0306" w:rsidRPr="00AE0306" w:rsidRDefault="00E86702" w:rsidP="00AF4330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:rsidR="0017725B" w:rsidRPr="0017725B" w:rsidRDefault="00E86702" w:rsidP="00AF4330">
            <w:pPr>
              <w:rPr>
                <w:b/>
                <w:u w:val="single"/>
              </w:rPr>
            </w:pPr>
          </w:p>
        </w:tc>
      </w:tr>
      <w:tr w:rsidR="009305AD" w:rsidTr="00345119">
        <w:tc>
          <w:tcPr>
            <w:tcW w:w="9576" w:type="dxa"/>
          </w:tcPr>
          <w:p w:rsidR="008423E4" w:rsidRPr="00A8133F" w:rsidRDefault="00E86702" w:rsidP="00AF43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86702" w:rsidP="00AF4330"/>
          <w:p w:rsidR="001E6D87" w:rsidRDefault="00E86702" w:rsidP="00AF4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state board of </w:t>
            </w:r>
            <w:r>
              <w:t>trustees of the Texas Emergency Services Retirement System in SECTION</w:t>
            </w:r>
            <w:r>
              <w:t>S</w:t>
            </w:r>
            <w:r>
              <w:t xml:space="preserve"> 3, 18</w:t>
            </w:r>
            <w:r>
              <w:t xml:space="preserve">, </w:t>
            </w:r>
            <w:r>
              <w:t xml:space="preserve">and </w:t>
            </w:r>
            <w:r>
              <w:t>33 of this bill.</w:t>
            </w:r>
          </w:p>
          <w:p w:rsidR="008423E4" w:rsidRPr="00E21FDC" w:rsidRDefault="00E86702" w:rsidP="00AF4330">
            <w:pPr>
              <w:rPr>
                <w:b/>
              </w:rPr>
            </w:pPr>
          </w:p>
        </w:tc>
      </w:tr>
      <w:tr w:rsidR="009305AD" w:rsidTr="00345119">
        <w:tc>
          <w:tcPr>
            <w:tcW w:w="9576" w:type="dxa"/>
          </w:tcPr>
          <w:p w:rsidR="008423E4" w:rsidRPr="00A8133F" w:rsidRDefault="00E86702" w:rsidP="00AF43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86702" w:rsidP="00AF4330"/>
          <w:p w:rsidR="00473364" w:rsidRDefault="00E86702" w:rsidP="00AF4330">
            <w:pPr>
              <w:pStyle w:val="Header"/>
              <w:jc w:val="both"/>
            </w:pPr>
            <w:r>
              <w:t>C.S.H.B.</w:t>
            </w:r>
            <w:r>
              <w:t xml:space="preserve"> 3247 amends the Government Code </w:t>
            </w:r>
            <w:r>
              <w:t>to revise</w:t>
            </w:r>
            <w:r>
              <w:t>, update, and clarify</w:t>
            </w:r>
            <w:r>
              <w:t xml:space="preserve"> provisions relating to the Texas E</w:t>
            </w:r>
            <w:r w:rsidRPr="00BA5684">
              <w:t>mergenc</w:t>
            </w:r>
            <w:r>
              <w:t>y Services Retirement S</w:t>
            </w:r>
            <w:r w:rsidRPr="00BA5684">
              <w:t>ystem</w:t>
            </w:r>
            <w:r>
              <w:t xml:space="preserve"> (</w:t>
            </w:r>
            <w:r>
              <w:t>T</w:t>
            </w:r>
            <w:r>
              <w:t>ESRS</w:t>
            </w:r>
            <w:r>
              <w:t xml:space="preserve">). </w:t>
            </w:r>
            <w:r>
              <w:t>The bill defines</w:t>
            </w:r>
            <w:r>
              <w:t>, among other terms</w:t>
            </w:r>
            <w:r>
              <w:t>:</w:t>
            </w:r>
          </w:p>
          <w:p w:rsidR="008C30EB" w:rsidRDefault="00E86702" w:rsidP="00E86702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"</w:t>
            </w:r>
            <w:r>
              <w:t xml:space="preserve">governing body of </w:t>
            </w:r>
            <w:r>
              <w:t>a department"</w:t>
            </w:r>
            <w:r>
              <w:t xml:space="preserve"> or </w:t>
            </w:r>
            <w:r>
              <w:t>"</w:t>
            </w:r>
            <w:r>
              <w:t>governing body of a participating department</w:t>
            </w:r>
            <w:r>
              <w:t>"</w:t>
            </w:r>
            <w:r>
              <w:t xml:space="preserve"> to mean the board of trustees or other governing body of the department or, if the department does not have a governing body, the</w:t>
            </w:r>
            <w:r>
              <w:t xml:space="preserve"> governing body of the political subdivision</w:t>
            </w:r>
            <w:r>
              <w:t xml:space="preserve">; </w:t>
            </w:r>
          </w:p>
          <w:p w:rsidR="00473364" w:rsidRDefault="00E86702" w:rsidP="00E86702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“governing body of a political subdivision” to mean the governing body of the political subdivision or unit of government of which the department is a part; and</w:t>
            </w:r>
          </w:p>
          <w:p w:rsidR="00373215" w:rsidRDefault="00E86702" w:rsidP="00E86702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"</w:t>
            </w:r>
            <w:r>
              <w:t>participating department head</w:t>
            </w:r>
            <w:r>
              <w:t>"</w:t>
            </w:r>
            <w:r>
              <w:t xml:space="preserve"> to mean the chie</w:t>
            </w:r>
            <w:r>
              <w:t>f, designated leader, or other executive head of a participating department</w:t>
            </w:r>
            <w:r>
              <w:t xml:space="preserve">. </w:t>
            </w:r>
          </w:p>
          <w:p w:rsidR="00F60BF5" w:rsidRDefault="00E86702" w:rsidP="00AF4330">
            <w:pPr>
              <w:pStyle w:val="Header"/>
              <w:jc w:val="both"/>
            </w:pPr>
            <w:r>
              <w:t>The</w:t>
            </w:r>
            <w:r>
              <w:t xml:space="preserve"> bill authorizes the</w:t>
            </w:r>
            <w:r>
              <w:t xml:space="preserve"> governing body of a participating department </w:t>
            </w:r>
            <w:r>
              <w:t xml:space="preserve">to </w:t>
            </w:r>
            <w:r>
              <w:t>designate a participating department head, subject to the approval of the executive director.</w:t>
            </w:r>
          </w:p>
          <w:p w:rsidR="009544D3" w:rsidRDefault="00E86702" w:rsidP="00AF4330">
            <w:pPr>
              <w:pStyle w:val="Header"/>
              <w:jc w:val="both"/>
            </w:pPr>
          </w:p>
          <w:p w:rsidR="00A34A94" w:rsidRDefault="00E86702" w:rsidP="00AF4330">
            <w:pPr>
              <w:pStyle w:val="Header"/>
              <w:jc w:val="both"/>
            </w:pPr>
            <w:r>
              <w:t>C.S.H.B.</w:t>
            </w:r>
            <w:r>
              <w:t xml:space="preserve"> 3247 </w:t>
            </w:r>
            <w:r>
              <w:t xml:space="preserve">changes provisions with regard to termination of an election for a department to participate in TESRS </w:t>
            </w:r>
            <w:r>
              <w:t>by:</w:t>
            </w:r>
          </w:p>
          <w:p w:rsidR="002C054A" w:rsidRDefault="00E86702" w:rsidP="00E86702">
            <w:pPr>
              <w:pStyle w:val="Header"/>
              <w:numPr>
                <w:ilvl w:val="0"/>
                <w:numId w:val="7"/>
              </w:numPr>
              <w:spacing w:before="120" w:after="120"/>
              <w:jc w:val="both"/>
            </w:pPr>
            <w:r>
              <w:t xml:space="preserve">defining </w:t>
            </w:r>
            <w:r>
              <w:t xml:space="preserve">"department" as a department or other organization that performs </w:t>
            </w:r>
            <w:r w:rsidRPr="004B6AFB">
              <w:t>emergency services, including a volunteer fire department</w:t>
            </w:r>
            <w:r>
              <w:t xml:space="preserve">, and </w:t>
            </w:r>
            <w:r>
              <w:t xml:space="preserve">that </w:t>
            </w:r>
            <w:r>
              <w:t>is</w:t>
            </w:r>
            <w:r>
              <w:t xml:space="preserve"> not a for-profit entity</w:t>
            </w:r>
            <w:r>
              <w:t>; and</w:t>
            </w:r>
          </w:p>
          <w:p w:rsidR="0072777D" w:rsidRDefault="00E86702" w:rsidP="00E8670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</w:t>
            </w:r>
            <w:r>
              <w:t>ing</w:t>
            </w:r>
            <w:r>
              <w:t xml:space="preserve"> the state board of trustees </w:t>
            </w:r>
            <w:r>
              <w:t xml:space="preserve">of TESRS </w:t>
            </w:r>
            <w:r>
              <w:t xml:space="preserve">to adopt rules that allow the governing body </w:t>
            </w:r>
            <w:r>
              <w:t xml:space="preserve">of a participating department </w:t>
            </w:r>
            <w:r>
              <w:t>to revoke its participat</w:t>
            </w:r>
            <w:r>
              <w:t>ion</w:t>
            </w:r>
            <w:r>
              <w:t xml:space="preserve"> in TESRS in a manner that maintains </w:t>
            </w:r>
            <w:r>
              <w:t>the</w:t>
            </w:r>
            <w:r>
              <w:t xml:space="preserve"> actuarial sound</w:t>
            </w:r>
            <w:r>
              <w:t>ness of</w:t>
            </w:r>
            <w:r>
              <w:t xml:space="preserve"> TESRS</w:t>
            </w:r>
            <w:r>
              <w:t>.</w:t>
            </w:r>
          </w:p>
          <w:p w:rsidR="000E75D1" w:rsidRDefault="00E86702" w:rsidP="00AF433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:rsidR="007A04C5" w:rsidRDefault="00E86702" w:rsidP="00AF4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>
              <w:t xml:space="preserve"> 3247 </w:t>
            </w:r>
            <w:r>
              <w:t>extends immunity from liability for any good faith action taken in the performance of TESRS</w:t>
            </w:r>
            <w:r>
              <w:t xml:space="preserve"> duties</w:t>
            </w:r>
            <w:r>
              <w:t xml:space="preserve"> to a local board </w:t>
            </w:r>
            <w:r>
              <w:t xml:space="preserve">of trustees </w:t>
            </w:r>
            <w:r>
              <w:t xml:space="preserve">of a department </w:t>
            </w:r>
            <w:r>
              <w:t xml:space="preserve">and each </w:t>
            </w:r>
            <w:r>
              <w:t xml:space="preserve">participating </w:t>
            </w:r>
            <w:r>
              <w:t xml:space="preserve">department head of TESRS. </w:t>
            </w:r>
          </w:p>
          <w:p w:rsidR="007A04C5" w:rsidRDefault="00E86702" w:rsidP="00AF4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D5AC8" w:rsidRDefault="00E86702" w:rsidP="00AF4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3247 prohibits a person from earning s</w:t>
            </w:r>
            <w:r>
              <w:t xml:space="preserve">ervice credit for the same service with </w:t>
            </w:r>
            <w:r>
              <w:t>TESRS</w:t>
            </w:r>
            <w:r>
              <w:t xml:space="preserve"> and another public retirement system. </w:t>
            </w:r>
          </w:p>
          <w:p w:rsidR="00C6202B" w:rsidRDefault="00E86702" w:rsidP="00AF4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385728" w:rsidRDefault="00E86702" w:rsidP="00AF4330">
            <w:pPr>
              <w:pStyle w:val="Header"/>
              <w:jc w:val="both"/>
            </w:pPr>
            <w:r>
              <w:t>C.S.H.B.</w:t>
            </w:r>
            <w:r>
              <w:t xml:space="preserve"> 3247</w:t>
            </w:r>
            <w:r>
              <w:t xml:space="preserve"> </w:t>
            </w:r>
            <w:r>
              <w:t>revises provision</w:t>
            </w:r>
            <w:r>
              <w:t>s</w:t>
            </w:r>
            <w:r>
              <w:t xml:space="preserve"> with regard to temporary disability</w:t>
            </w:r>
            <w:r>
              <w:t xml:space="preserve"> retirement</w:t>
            </w:r>
            <w:r>
              <w:t xml:space="preserve"> benefits</w:t>
            </w:r>
            <w:r>
              <w:t xml:space="preserve"> and, among other things:</w:t>
            </w:r>
          </w:p>
          <w:p w:rsidR="003A5CAB" w:rsidRDefault="00E86702" w:rsidP="00E86702">
            <w:pPr>
              <w:pStyle w:val="Header"/>
              <w:numPr>
                <w:ilvl w:val="0"/>
                <w:numId w:val="6"/>
              </w:numPr>
              <w:spacing w:before="120" w:after="120"/>
              <w:jc w:val="both"/>
            </w:pPr>
            <w:r>
              <w:t>makes a requirement for a member who is receiving such b</w:t>
            </w:r>
            <w:r>
              <w:t>enefits to periodically file a disability rating report at the local board’s discretion;</w:t>
            </w:r>
          </w:p>
          <w:p w:rsidR="00385728" w:rsidRDefault="00E86702" w:rsidP="00E86702">
            <w:pPr>
              <w:pStyle w:val="Header"/>
              <w:numPr>
                <w:ilvl w:val="0"/>
                <w:numId w:val="6"/>
              </w:numPr>
              <w:spacing w:before="120" w:after="120"/>
              <w:jc w:val="both"/>
            </w:pPr>
            <w:r>
              <w:t xml:space="preserve">requires a local board </w:t>
            </w:r>
            <w:r>
              <w:t>to select the physician making the determination on the duration of the disability</w:t>
            </w:r>
            <w:r>
              <w:t>;</w:t>
            </w:r>
          </w:p>
          <w:p w:rsidR="00385728" w:rsidRDefault="00E86702" w:rsidP="00E86702">
            <w:pPr>
              <w:pStyle w:val="Header"/>
              <w:numPr>
                <w:ilvl w:val="0"/>
                <w:numId w:val="6"/>
              </w:numPr>
              <w:spacing w:before="120" w:after="120"/>
              <w:jc w:val="both"/>
            </w:pPr>
            <w:r>
              <w:t xml:space="preserve">sets out the requirements for </w:t>
            </w:r>
            <w:r>
              <w:t>a person</w:t>
            </w:r>
            <w:r>
              <w:t xml:space="preserve"> who is determined by a local board to be temporarily disabled to continue to receive disability retirement benefits</w:t>
            </w:r>
            <w:r>
              <w:t>;</w:t>
            </w:r>
          </w:p>
          <w:p w:rsidR="00385728" w:rsidRDefault="00E86702" w:rsidP="00E86702">
            <w:pPr>
              <w:pStyle w:val="Header"/>
              <w:numPr>
                <w:ilvl w:val="0"/>
                <w:numId w:val="6"/>
              </w:numPr>
              <w:spacing w:before="120" w:after="120"/>
              <w:jc w:val="both"/>
            </w:pPr>
            <w:r>
              <w:t>establishes that th</w:t>
            </w:r>
            <w:r w:rsidRPr="00DE436E">
              <w:t xml:space="preserve">e amount of </w:t>
            </w:r>
            <w:r>
              <w:t>the c</w:t>
            </w:r>
            <w:r w:rsidRPr="00DE436E">
              <w:t>ontinuing disability retirement annuity is determined in the same manner as for a temporar</w:t>
            </w:r>
            <w:r>
              <w:t>y disability</w:t>
            </w:r>
            <w:r>
              <w:t xml:space="preserve"> retirement benefit</w:t>
            </w:r>
            <w:r>
              <w:t>;</w:t>
            </w:r>
          </w:p>
          <w:p w:rsidR="00385728" w:rsidRDefault="00E86702" w:rsidP="00E86702">
            <w:pPr>
              <w:pStyle w:val="Header"/>
              <w:numPr>
                <w:ilvl w:val="0"/>
                <w:numId w:val="6"/>
              </w:numPr>
              <w:spacing w:before="120" w:after="120"/>
              <w:jc w:val="both"/>
            </w:pPr>
            <w:r>
              <w:t>provides for the termination of</w:t>
            </w:r>
            <w:r>
              <w:t xml:space="preserve"> </w:t>
            </w:r>
            <w:r w:rsidRPr="00DE436E">
              <w:t xml:space="preserve">a continuing disability retirement annuity </w:t>
            </w:r>
            <w:r>
              <w:t>and requirements for a retiree to continue receiving the annuity;</w:t>
            </w:r>
          </w:p>
          <w:p w:rsidR="00385728" w:rsidRDefault="00E86702" w:rsidP="00E86702">
            <w:pPr>
              <w:pStyle w:val="Header"/>
              <w:numPr>
                <w:ilvl w:val="0"/>
                <w:numId w:val="6"/>
              </w:numPr>
              <w:spacing w:before="120" w:after="120"/>
              <w:jc w:val="both"/>
            </w:pPr>
            <w:r>
              <w:t xml:space="preserve">sets out the conditions under which </w:t>
            </w:r>
            <w:r>
              <w:t xml:space="preserve">payments of a continuing disability retirement annuity to </w:t>
            </w:r>
            <w:r>
              <w:t xml:space="preserve">a retiree certified by the medical board as permanently disabled </w:t>
            </w:r>
            <w:r>
              <w:t>are required to</w:t>
            </w:r>
            <w:r>
              <w:t xml:space="preserve"> cease</w:t>
            </w:r>
            <w:r>
              <w:t>; and</w:t>
            </w:r>
          </w:p>
          <w:p w:rsidR="005D5AC8" w:rsidRDefault="00E86702" w:rsidP="00E86702">
            <w:pPr>
              <w:pStyle w:val="Header"/>
              <w:numPr>
                <w:ilvl w:val="0"/>
                <w:numId w:val="6"/>
              </w:numPr>
              <w:spacing w:before="120" w:after="120"/>
              <w:jc w:val="both"/>
            </w:pPr>
            <w:r>
              <w:t>provides for a hearing to determine if grounds exist for termination of the annuity.</w:t>
            </w:r>
          </w:p>
          <w:p w:rsidR="00D17EF3" w:rsidRDefault="00E86702" w:rsidP="00AF4330">
            <w:pPr>
              <w:pStyle w:val="Header"/>
              <w:jc w:val="both"/>
            </w:pPr>
          </w:p>
          <w:p w:rsidR="00D17EF3" w:rsidRDefault="00E86702" w:rsidP="00AF4330">
            <w:pPr>
              <w:pStyle w:val="Header"/>
              <w:jc w:val="both"/>
            </w:pPr>
            <w:r>
              <w:t xml:space="preserve">C.S.H.B. 3247 </w:t>
            </w:r>
            <w:r>
              <w:t>revises provisions with regard to benefits for members and retir</w:t>
            </w:r>
            <w:r>
              <w:t xml:space="preserve">ees of a department </w:t>
            </w:r>
            <w:r>
              <w:t>that</w:t>
            </w:r>
            <w:r>
              <w:t xml:space="preserve"> withdraws from participation or ceases to exist. The bill </w:t>
            </w:r>
            <w:r>
              <w:t xml:space="preserve">authorizes the state board </w:t>
            </w:r>
            <w:r>
              <w:t xml:space="preserve">of trustees of TESRS </w:t>
            </w:r>
            <w:r>
              <w:t>by rule to provide a procedure under which the governing body of a department may delegate its duties</w:t>
            </w:r>
            <w:r>
              <w:t xml:space="preserve"> </w:t>
            </w:r>
            <w:r>
              <w:t>to the executive direct</w:t>
            </w:r>
            <w:r>
              <w:t xml:space="preserve">or </w:t>
            </w:r>
            <w:r>
              <w:t xml:space="preserve">of the </w:t>
            </w:r>
            <w:r>
              <w:t xml:space="preserve">state </w:t>
            </w:r>
            <w:r>
              <w:t>board</w:t>
            </w:r>
            <w:r>
              <w:t xml:space="preserve"> </w:t>
            </w:r>
            <w:r>
              <w:t xml:space="preserve">or appoint the executive director to perform the duties of a governing body of a political subdivision if the governing body fails to perform or delegate </w:t>
            </w:r>
            <w:r>
              <w:t xml:space="preserve">the required </w:t>
            </w:r>
            <w:r>
              <w:t xml:space="preserve">duties </w:t>
            </w:r>
            <w:r w:rsidRPr="007A7DD0">
              <w:t xml:space="preserve">of a local board </w:t>
            </w:r>
            <w:r>
              <w:t xml:space="preserve">of a formerly participating department </w:t>
            </w:r>
            <w:r>
              <w:t>with</w:t>
            </w:r>
            <w:r>
              <w:t>in a prescribed period of time.</w:t>
            </w:r>
          </w:p>
          <w:p w:rsidR="006A5486" w:rsidRDefault="00E86702" w:rsidP="00AF4330">
            <w:pPr>
              <w:pStyle w:val="Header"/>
              <w:jc w:val="both"/>
            </w:pPr>
          </w:p>
          <w:p w:rsidR="006434F8" w:rsidRDefault="00E86702" w:rsidP="00AF4330">
            <w:pPr>
              <w:pStyle w:val="Header"/>
              <w:jc w:val="both"/>
            </w:pPr>
            <w:r>
              <w:t>C.S.H.B.</w:t>
            </w:r>
            <w:r>
              <w:t xml:space="preserve"> 3247</w:t>
            </w:r>
            <w:r>
              <w:t>,</w:t>
            </w:r>
            <w:r>
              <w:t xml:space="preserve"> </w:t>
            </w:r>
            <w:r>
              <w:t xml:space="preserve">with regard to </w:t>
            </w:r>
            <w:r>
              <w:t xml:space="preserve">the </w:t>
            </w:r>
            <w:r>
              <w:t>general administration of TESRS:</w:t>
            </w:r>
          </w:p>
          <w:p w:rsidR="006434F8" w:rsidRDefault="00E86702" w:rsidP="00E86702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establishes</w:t>
            </w:r>
            <w:r>
              <w:t xml:space="preserve"> that</w:t>
            </w:r>
            <w:r>
              <w:t xml:space="preserve"> </w:t>
            </w:r>
            <w:r w:rsidRPr="006A5486">
              <w:t>the governor is not required to appoint a trustee</w:t>
            </w:r>
            <w:r>
              <w:t xml:space="preserve"> to the state board</w:t>
            </w:r>
            <w:r w:rsidRPr="006A5486">
              <w:t xml:space="preserve"> to represent emergency medical services personnel</w:t>
            </w:r>
            <w:r>
              <w:t xml:space="preserve"> if</w:t>
            </w:r>
            <w:r w:rsidRPr="006A5486">
              <w:t xml:space="preserve"> there are no participating departments in </w:t>
            </w:r>
            <w:r>
              <w:t>TESRS</w:t>
            </w:r>
            <w:r w:rsidRPr="006A5486">
              <w:t xml:space="preserve"> that provide emergency medical services</w:t>
            </w:r>
            <w:r>
              <w:t>;</w:t>
            </w:r>
          </w:p>
          <w:p w:rsidR="006434F8" w:rsidRDefault="00E86702" w:rsidP="00E86702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 xml:space="preserve">establishes that </w:t>
            </w:r>
            <w:r>
              <w:t xml:space="preserve">the state board </w:t>
            </w:r>
            <w:r>
              <w:t xml:space="preserve">is </w:t>
            </w:r>
            <w:r>
              <w:t>responsible for seeking</w:t>
            </w:r>
            <w:r>
              <w:t xml:space="preserve"> </w:t>
            </w:r>
            <w:r>
              <w:t>and</w:t>
            </w:r>
            <w:r>
              <w:t xml:space="preserve"> recovering </w:t>
            </w:r>
            <w:r w:rsidRPr="00AA057D">
              <w:t xml:space="preserve">any benefits fraudulently acquired from </w:t>
            </w:r>
            <w:r>
              <w:t>TESRS</w:t>
            </w:r>
            <w:r>
              <w:t xml:space="preserve"> and sets forth related procedures</w:t>
            </w:r>
            <w:r>
              <w:t>;</w:t>
            </w:r>
          </w:p>
          <w:p w:rsidR="00AA057D" w:rsidRDefault="00E86702" w:rsidP="00E86702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>requires</w:t>
            </w:r>
            <w:r>
              <w:t xml:space="preserve"> </w:t>
            </w:r>
            <w:r>
              <w:t>c</w:t>
            </w:r>
            <w:r>
              <w:t xml:space="preserve">ertain </w:t>
            </w:r>
            <w:r>
              <w:t>gifts</w:t>
            </w:r>
            <w:r>
              <w:t>, money, or other property received and interest collected</w:t>
            </w:r>
            <w:r>
              <w:t xml:space="preserve"> </w:t>
            </w:r>
            <w:r>
              <w:t>to be deposited into the</w:t>
            </w:r>
            <w:r>
              <w:t xml:space="preserve"> Texas emergency services retirement</w:t>
            </w:r>
            <w:r>
              <w:t xml:space="preserve"> fund</w:t>
            </w:r>
            <w:r>
              <w:t>;</w:t>
            </w:r>
            <w:r>
              <w:t xml:space="preserve"> </w:t>
            </w:r>
          </w:p>
          <w:p w:rsidR="006434F8" w:rsidRDefault="00E86702" w:rsidP="00E86702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>requires the executive director</w:t>
            </w:r>
            <w:r>
              <w:t xml:space="preserve"> of the state board</w:t>
            </w:r>
            <w:r>
              <w:t xml:space="preserve">, not later </w:t>
            </w:r>
            <w:r w:rsidRPr="00AA057D">
              <w:t>than the 30th day after the date the executive director</w:t>
            </w:r>
            <w:r w:rsidRPr="00AA057D">
              <w:t xml:space="preserve"> receives from a participating department head notice of a change in the membership records of the department, </w:t>
            </w:r>
            <w:r>
              <w:t>to</w:t>
            </w:r>
            <w:r w:rsidRPr="00AA057D">
              <w:t xml:space="preserve"> notify the presiding officer of the local board</w:t>
            </w:r>
            <w:r>
              <w:t xml:space="preserve"> </w:t>
            </w:r>
            <w:r w:rsidRPr="00AA057D">
              <w:t>of the department of the change</w:t>
            </w:r>
            <w:r>
              <w:t>;</w:t>
            </w:r>
          </w:p>
          <w:p w:rsidR="008969FF" w:rsidRDefault="00E86702" w:rsidP="00E86702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 xml:space="preserve">authorizes the executive director to examine the </w:t>
            </w:r>
            <w:r>
              <w:t>membership r</w:t>
            </w:r>
            <w:r>
              <w:t>ecords of a participating department head</w:t>
            </w:r>
            <w:r>
              <w:t xml:space="preserve">; and </w:t>
            </w:r>
          </w:p>
          <w:p w:rsidR="002B6E54" w:rsidRDefault="00E86702" w:rsidP="00E86702">
            <w:pPr>
              <w:pStyle w:val="Header"/>
              <w:numPr>
                <w:ilvl w:val="0"/>
                <w:numId w:val="5"/>
              </w:numPr>
              <w:spacing w:before="120" w:after="120"/>
              <w:jc w:val="both"/>
            </w:pPr>
            <w:r>
              <w:t xml:space="preserve">sets out the duties of the participating department head. </w:t>
            </w:r>
          </w:p>
          <w:p w:rsidR="001F218C" w:rsidRDefault="00E86702" w:rsidP="00AF4330">
            <w:pPr>
              <w:pStyle w:val="Header"/>
              <w:jc w:val="both"/>
            </w:pPr>
          </w:p>
          <w:p w:rsidR="001F218C" w:rsidRDefault="00E86702" w:rsidP="00AF4330">
            <w:pPr>
              <w:pStyle w:val="Header"/>
              <w:jc w:val="both"/>
            </w:pPr>
            <w:r>
              <w:t xml:space="preserve">C.S.H.B. 3247 authorizes the state board </w:t>
            </w:r>
            <w:r>
              <w:t xml:space="preserve">of trustees of TESRS </w:t>
            </w:r>
            <w:r>
              <w:t xml:space="preserve">by rule to adopt a procedure by which the duties of a local board may be delegated to </w:t>
            </w:r>
            <w:r>
              <w:t xml:space="preserve">the executive director </w:t>
            </w:r>
            <w:r>
              <w:t>under certain conditions</w:t>
            </w:r>
            <w:r>
              <w:t>.</w:t>
            </w:r>
            <w:r>
              <w:t xml:space="preserve"> </w:t>
            </w:r>
            <w:r>
              <w:t xml:space="preserve">The bill removes the </w:t>
            </w:r>
            <w:r>
              <w:t>specification</w:t>
            </w:r>
            <w:r>
              <w:t xml:space="preserve"> that the governing bodies of political subdivisions contribute equally for each member for each month of service if </w:t>
            </w:r>
            <w:r w:rsidRPr="004C21A8">
              <w:t>the participating department is located in more than one</w:t>
            </w:r>
            <w:r w:rsidRPr="004C21A8">
              <w:t xml:space="preserve"> political subdivi</w:t>
            </w:r>
            <w:r>
              <w:t>sion.</w:t>
            </w:r>
            <w:r w:rsidRPr="004C21A8">
              <w:t xml:space="preserve"> </w:t>
            </w:r>
            <w:r>
              <w:t>The bill</w:t>
            </w:r>
            <w:r>
              <w:t xml:space="preserve"> authorizes TESRS to collect from the governing body of a political subdivision any </w:t>
            </w:r>
            <w:r>
              <w:t xml:space="preserve">local </w:t>
            </w:r>
            <w:r w:rsidRPr="001F218C">
              <w:t xml:space="preserve">contributions the governing body fails to make </w:t>
            </w:r>
            <w:r>
              <w:t>and associated interest accrued.</w:t>
            </w:r>
          </w:p>
          <w:p w:rsidR="007F5B76" w:rsidRDefault="00E86702" w:rsidP="00AF4330">
            <w:pPr>
              <w:pStyle w:val="Header"/>
              <w:jc w:val="both"/>
            </w:pPr>
          </w:p>
          <w:p w:rsidR="004D2196" w:rsidRDefault="00E86702" w:rsidP="00AF4330">
            <w:pPr>
              <w:pStyle w:val="Header"/>
              <w:jc w:val="both"/>
            </w:pPr>
            <w:r>
              <w:t>C.S.H.B.</w:t>
            </w:r>
            <w:r>
              <w:t xml:space="preserve"> 3247 repeals </w:t>
            </w:r>
            <w:r>
              <w:t>the definition of</w:t>
            </w:r>
            <w:r>
              <w:t xml:space="preserve"> auxiliary employee</w:t>
            </w:r>
            <w:r>
              <w:t xml:space="preserve"> for purposes</w:t>
            </w:r>
            <w:r>
              <w:t xml:space="preserve"> of TESRS</w:t>
            </w:r>
            <w:r>
              <w:t xml:space="preserve"> and</w:t>
            </w:r>
            <w:r>
              <w:t xml:space="preserve"> repeals </w:t>
            </w:r>
            <w:r>
              <w:t xml:space="preserve">an authorization for a TESRS member who performs qualified service for more than one participating department to become eligible to receive a </w:t>
            </w:r>
            <w:r>
              <w:t>service retirement benefit</w:t>
            </w:r>
            <w:r>
              <w:t xml:space="preserve"> annuity</w:t>
            </w:r>
            <w:r>
              <w:t xml:space="preserve"> </w:t>
            </w:r>
            <w:r>
              <w:t xml:space="preserve">from </w:t>
            </w:r>
            <w:r>
              <w:t>more than one depart</w:t>
            </w:r>
            <w:r>
              <w:t>ment</w:t>
            </w:r>
            <w:r>
              <w:t>.</w:t>
            </w:r>
          </w:p>
          <w:p w:rsidR="004D2196" w:rsidRDefault="00E86702" w:rsidP="00AF4330">
            <w:pPr>
              <w:pStyle w:val="Header"/>
              <w:jc w:val="both"/>
            </w:pPr>
          </w:p>
          <w:p w:rsidR="004D2196" w:rsidRDefault="00E86702" w:rsidP="00AF4330">
            <w:pPr>
              <w:pStyle w:val="Header"/>
              <w:jc w:val="both"/>
            </w:pPr>
            <w:r>
              <w:t>C.S.H.B. 3247 repeals the following provisions of the Government Code:</w:t>
            </w:r>
          </w:p>
          <w:p w:rsidR="004D2196" w:rsidRDefault="00E86702" w:rsidP="00AF4330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861.001(2)</w:t>
            </w:r>
          </w:p>
          <w:p w:rsidR="004D2196" w:rsidRDefault="00E86702" w:rsidP="00AF4330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864.003</w:t>
            </w:r>
          </w:p>
          <w:p w:rsidR="004D2196" w:rsidRDefault="00E86702" w:rsidP="00AF4330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Sections 864.005(c), (e), (f), and (g)</w:t>
            </w:r>
          </w:p>
          <w:p w:rsidR="004D2196" w:rsidRDefault="00E86702" w:rsidP="00AF4330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865.010(d)</w:t>
            </w:r>
          </w:p>
          <w:p w:rsidR="007F5B76" w:rsidRPr="002B6E54" w:rsidRDefault="00E86702" w:rsidP="00AF4330">
            <w:pPr>
              <w:pStyle w:val="Header"/>
              <w:jc w:val="both"/>
            </w:pPr>
            <w:r>
              <w:t xml:space="preserve">  </w:t>
            </w:r>
            <w:r>
              <w:t xml:space="preserve"> </w:t>
            </w:r>
          </w:p>
        </w:tc>
      </w:tr>
      <w:tr w:rsidR="009305AD" w:rsidTr="00345119">
        <w:tc>
          <w:tcPr>
            <w:tcW w:w="9576" w:type="dxa"/>
          </w:tcPr>
          <w:p w:rsidR="008423E4" w:rsidRPr="00A8133F" w:rsidRDefault="00E86702" w:rsidP="00AF433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86702" w:rsidP="00AF4330"/>
          <w:p w:rsidR="008423E4" w:rsidRPr="003624F2" w:rsidRDefault="00E86702" w:rsidP="00AF4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E86702" w:rsidP="00AF4330">
            <w:pPr>
              <w:rPr>
                <w:b/>
              </w:rPr>
            </w:pPr>
          </w:p>
        </w:tc>
      </w:tr>
      <w:tr w:rsidR="009305AD" w:rsidTr="00345119">
        <w:tc>
          <w:tcPr>
            <w:tcW w:w="9576" w:type="dxa"/>
          </w:tcPr>
          <w:p w:rsidR="009A6F0A" w:rsidRDefault="00E86702" w:rsidP="00AF43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1787F" w:rsidRDefault="00E86702" w:rsidP="00AF4330">
            <w:pPr>
              <w:jc w:val="both"/>
            </w:pPr>
          </w:p>
          <w:p w:rsidR="0031787F" w:rsidRDefault="00E86702" w:rsidP="00AF4330">
            <w:pPr>
              <w:jc w:val="both"/>
            </w:pPr>
            <w:r>
              <w:t>C.S.H.B. 3247 differs from the original in minor or nonsubstantive ways to make technical corrections.</w:t>
            </w:r>
          </w:p>
          <w:p w:rsidR="00017CB5" w:rsidRPr="00017CB5" w:rsidRDefault="00E86702" w:rsidP="00AF4330">
            <w:pPr>
              <w:jc w:val="both"/>
            </w:pPr>
          </w:p>
        </w:tc>
      </w:tr>
      <w:tr w:rsidR="009305AD" w:rsidTr="00345119">
        <w:tc>
          <w:tcPr>
            <w:tcW w:w="9576" w:type="dxa"/>
          </w:tcPr>
          <w:p w:rsidR="009A6F0A" w:rsidRPr="009C1E9A" w:rsidRDefault="00E86702" w:rsidP="00AF4330">
            <w:pPr>
              <w:rPr>
                <w:b/>
                <w:u w:val="single"/>
              </w:rPr>
            </w:pPr>
          </w:p>
        </w:tc>
      </w:tr>
      <w:tr w:rsidR="009305AD" w:rsidTr="00345119">
        <w:tc>
          <w:tcPr>
            <w:tcW w:w="9576" w:type="dxa"/>
          </w:tcPr>
          <w:p w:rsidR="009A6F0A" w:rsidRPr="009A6F0A" w:rsidRDefault="00E86702" w:rsidP="00AF4330">
            <w:pPr>
              <w:jc w:val="both"/>
            </w:pPr>
          </w:p>
        </w:tc>
      </w:tr>
    </w:tbl>
    <w:p w:rsidR="008423E4" w:rsidRPr="00BE0E75" w:rsidRDefault="00E8670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86702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6702">
      <w:r>
        <w:separator/>
      </w:r>
    </w:p>
  </w:endnote>
  <w:endnote w:type="continuationSeparator" w:id="0">
    <w:p w:rsidR="00000000" w:rsidRDefault="00E8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86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05AD" w:rsidTr="009C1E9A">
      <w:trPr>
        <w:cantSplit/>
      </w:trPr>
      <w:tc>
        <w:tcPr>
          <w:tcW w:w="0" w:type="pct"/>
        </w:tcPr>
        <w:p w:rsidR="00137D90" w:rsidRDefault="00E8670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8670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8670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8670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867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05AD" w:rsidTr="009C1E9A">
      <w:trPr>
        <w:cantSplit/>
      </w:trPr>
      <w:tc>
        <w:tcPr>
          <w:tcW w:w="0" w:type="pct"/>
        </w:tcPr>
        <w:p w:rsidR="00EC379B" w:rsidRDefault="00E8670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867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29908</w:t>
          </w:r>
        </w:p>
      </w:tc>
      <w:tc>
        <w:tcPr>
          <w:tcW w:w="2453" w:type="pct"/>
        </w:tcPr>
        <w:p w:rsidR="00EC379B" w:rsidRDefault="00E867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19.116.739</w:t>
          </w:r>
          <w:r>
            <w:fldChar w:fldCharType="end"/>
          </w:r>
        </w:p>
      </w:tc>
    </w:tr>
    <w:tr w:rsidR="009305AD" w:rsidTr="009C1E9A">
      <w:trPr>
        <w:cantSplit/>
      </w:trPr>
      <w:tc>
        <w:tcPr>
          <w:tcW w:w="0" w:type="pct"/>
        </w:tcPr>
        <w:p w:rsidR="00EC379B" w:rsidRDefault="00E8670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8670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20983</w:t>
          </w:r>
        </w:p>
      </w:tc>
      <w:tc>
        <w:tcPr>
          <w:tcW w:w="2453" w:type="pct"/>
        </w:tcPr>
        <w:p w:rsidR="00EC379B" w:rsidRDefault="00E86702" w:rsidP="006D504F">
          <w:pPr>
            <w:pStyle w:val="Footer"/>
            <w:rPr>
              <w:rStyle w:val="PageNumber"/>
            </w:rPr>
          </w:pPr>
        </w:p>
        <w:p w:rsidR="00EC379B" w:rsidRDefault="00E867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05A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867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:rsidR="00EC379B" w:rsidRDefault="00E8670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8670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86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6702">
      <w:r>
        <w:separator/>
      </w:r>
    </w:p>
  </w:footnote>
  <w:footnote w:type="continuationSeparator" w:id="0">
    <w:p w:rsidR="00000000" w:rsidRDefault="00E8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86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86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86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25F6"/>
    <w:multiLevelType w:val="hybridMultilevel"/>
    <w:tmpl w:val="2E46B386"/>
    <w:lvl w:ilvl="0" w:tplc="FF5C1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E6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26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7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65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E5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D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48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02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1FAD"/>
    <w:multiLevelType w:val="hybridMultilevel"/>
    <w:tmpl w:val="B12456CE"/>
    <w:lvl w:ilvl="0" w:tplc="FE709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29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02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45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4C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02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2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07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4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94D"/>
    <w:multiLevelType w:val="hybridMultilevel"/>
    <w:tmpl w:val="FDAE96A6"/>
    <w:lvl w:ilvl="0" w:tplc="25E29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AF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4A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C4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EF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6A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C8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1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87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5D7C"/>
    <w:multiLevelType w:val="hybridMultilevel"/>
    <w:tmpl w:val="6660FB4A"/>
    <w:lvl w:ilvl="0" w:tplc="25766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E3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CE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84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23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21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AA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D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47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70E9"/>
    <w:multiLevelType w:val="hybridMultilevel"/>
    <w:tmpl w:val="B6067F24"/>
    <w:lvl w:ilvl="0" w:tplc="55620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06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28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C8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0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C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42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4C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D3BA4"/>
    <w:multiLevelType w:val="hybridMultilevel"/>
    <w:tmpl w:val="87707D7E"/>
    <w:lvl w:ilvl="0" w:tplc="8BD6F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6E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0E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CC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28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07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C7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0F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E677F"/>
    <w:multiLevelType w:val="hybridMultilevel"/>
    <w:tmpl w:val="83085870"/>
    <w:lvl w:ilvl="0" w:tplc="81C04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AD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CC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0C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3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0C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4B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64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AD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D"/>
    <w:rsid w:val="009305AD"/>
    <w:rsid w:val="00E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E1EB64-7BC7-478C-8449-F3205DF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D5A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5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5A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AC8"/>
    <w:rPr>
      <w:b/>
      <w:bCs/>
    </w:rPr>
  </w:style>
  <w:style w:type="paragraph" w:styleId="Revision">
    <w:name w:val="Revision"/>
    <w:hidden/>
    <w:uiPriority w:val="99"/>
    <w:semiHidden/>
    <w:rsid w:val="003971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5865</Characters>
  <Application>Microsoft Office Word</Application>
  <DocSecurity>4</DocSecurity>
  <Lines>134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HB03247 (Committee Report (Substituted))</vt:lpstr>
    </vt:vector>
  </TitlesOfParts>
  <Company>State of Texas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29908</dc:subject>
  <dc:creator>State of Texas</dc:creator>
  <dc:description>HB 3247 by Martinez-(H)Pensions, Investments &amp; Financial Services (Substitute Document Number: 86R 20983)</dc:description>
  <cp:lastModifiedBy>Stacey Nicchio</cp:lastModifiedBy>
  <cp:revision>2</cp:revision>
  <cp:lastPrinted>2003-11-26T17:21:00Z</cp:lastPrinted>
  <dcterms:created xsi:type="dcterms:W3CDTF">2019-04-27T01:23:00Z</dcterms:created>
  <dcterms:modified xsi:type="dcterms:W3CDTF">2019-04-27T01:23:00Z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19.116.739</vt:lpwstr>
  </property>
</Properties>
</file>