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671D" w:rsidTr="00345119">
        <w:tc>
          <w:tcPr>
            <w:tcW w:w="9576" w:type="dxa"/>
            <w:noWrap/>
          </w:tcPr>
          <w:p w:rsidR="008423E4" w:rsidRPr="0022177D" w:rsidRDefault="004418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189B" w:rsidP="008423E4">
      <w:pPr>
        <w:jc w:val="center"/>
      </w:pPr>
    </w:p>
    <w:p w:rsidR="008423E4" w:rsidRPr="00B31F0E" w:rsidRDefault="0044189B" w:rsidP="008423E4"/>
    <w:p w:rsidR="008423E4" w:rsidRPr="00742794" w:rsidRDefault="004418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671D" w:rsidTr="00345119">
        <w:tc>
          <w:tcPr>
            <w:tcW w:w="9576" w:type="dxa"/>
          </w:tcPr>
          <w:p w:rsidR="008423E4" w:rsidRPr="00861995" w:rsidRDefault="0044189B" w:rsidP="00345119">
            <w:pPr>
              <w:jc w:val="right"/>
            </w:pPr>
            <w:r>
              <w:t>C.S.H.B. 3284</w:t>
            </w:r>
          </w:p>
        </w:tc>
      </w:tr>
      <w:tr w:rsidR="00E8671D" w:rsidTr="00345119">
        <w:tc>
          <w:tcPr>
            <w:tcW w:w="9576" w:type="dxa"/>
          </w:tcPr>
          <w:p w:rsidR="008423E4" w:rsidRPr="00861995" w:rsidRDefault="0044189B" w:rsidP="00FE56FE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E8671D" w:rsidTr="00345119">
        <w:tc>
          <w:tcPr>
            <w:tcW w:w="9576" w:type="dxa"/>
          </w:tcPr>
          <w:p w:rsidR="008423E4" w:rsidRPr="00861995" w:rsidRDefault="0044189B" w:rsidP="00345119">
            <w:pPr>
              <w:jc w:val="right"/>
            </w:pPr>
            <w:r>
              <w:t>Public Health</w:t>
            </w:r>
          </w:p>
        </w:tc>
      </w:tr>
      <w:tr w:rsidR="00E8671D" w:rsidTr="00345119">
        <w:tc>
          <w:tcPr>
            <w:tcW w:w="9576" w:type="dxa"/>
          </w:tcPr>
          <w:p w:rsidR="008423E4" w:rsidRDefault="0044189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4189B" w:rsidP="008423E4">
      <w:pPr>
        <w:tabs>
          <w:tab w:val="right" w:pos="9360"/>
        </w:tabs>
      </w:pPr>
    </w:p>
    <w:p w:rsidR="008423E4" w:rsidRDefault="0044189B" w:rsidP="008423E4"/>
    <w:p w:rsidR="008423E4" w:rsidRDefault="004418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671D" w:rsidTr="00345119">
        <w:tc>
          <w:tcPr>
            <w:tcW w:w="9576" w:type="dxa"/>
          </w:tcPr>
          <w:p w:rsidR="008423E4" w:rsidRPr="00A8133F" w:rsidRDefault="0044189B" w:rsidP="00893F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189B" w:rsidP="00893F93"/>
          <w:p w:rsidR="008423E4" w:rsidRDefault="0044189B" w:rsidP="00893F93">
            <w:pPr>
              <w:pStyle w:val="Header"/>
              <w:jc w:val="both"/>
            </w:pPr>
            <w:r>
              <w:t xml:space="preserve">Calls have been made to do more to address the current opioid crisis. </w:t>
            </w:r>
            <w:r>
              <w:t>C.S.</w:t>
            </w:r>
            <w:r>
              <w:t>H.B. 3284</w:t>
            </w:r>
            <w:r>
              <w:t xml:space="preserve"> seeks to </w:t>
            </w:r>
            <w:r>
              <w:t xml:space="preserve">answer those calls by providing for </w:t>
            </w:r>
            <w:r>
              <w:t>better prescription monitoring and increasing the use of technology</w:t>
            </w:r>
            <w:r>
              <w:t xml:space="preserve">.  </w:t>
            </w:r>
          </w:p>
          <w:p w:rsidR="008423E4" w:rsidRPr="00E26B13" w:rsidRDefault="0044189B" w:rsidP="00893F93">
            <w:pPr>
              <w:rPr>
                <w:b/>
              </w:rPr>
            </w:pPr>
          </w:p>
        </w:tc>
      </w:tr>
      <w:tr w:rsidR="00E8671D" w:rsidTr="00345119">
        <w:tc>
          <w:tcPr>
            <w:tcW w:w="9576" w:type="dxa"/>
          </w:tcPr>
          <w:p w:rsidR="0017725B" w:rsidRDefault="0044189B" w:rsidP="00893F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189B" w:rsidP="00893F93">
            <w:pPr>
              <w:rPr>
                <w:b/>
                <w:u w:val="single"/>
              </w:rPr>
            </w:pPr>
          </w:p>
          <w:p w:rsidR="004A247D" w:rsidRPr="004A247D" w:rsidRDefault="0044189B" w:rsidP="00893F93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44189B" w:rsidP="00893F93">
            <w:pPr>
              <w:rPr>
                <w:b/>
                <w:u w:val="single"/>
              </w:rPr>
            </w:pPr>
          </w:p>
        </w:tc>
      </w:tr>
      <w:tr w:rsidR="00E8671D" w:rsidTr="00345119">
        <w:tc>
          <w:tcPr>
            <w:tcW w:w="9576" w:type="dxa"/>
          </w:tcPr>
          <w:p w:rsidR="008423E4" w:rsidRPr="00A8133F" w:rsidRDefault="0044189B" w:rsidP="00893F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189B" w:rsidP="00893F93"/>
          <w:p w:rsidR="00C37505" w:rsidRDefault="0044189B" w:rsidP="00893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State Board of Pharmacy in </w:t>
            </w:r>
            <w:r>
              <w:t>SECTION</w:t>
            </w:r>
            <w:r>
              <w:t>S</w:t>
            </w:r>
            <w:r>
              <w:t xml:space="preserve"> 1</w:t>
            </w:r>
            <w:r>
              <w:t>,</w:t>
            </w:r>
            <w:r>
              <w:t>6</w:t>
            </w:r>
            <w:r>
              <w:t>, and 9</w:t>
            </w:r>
            <w:r>
              <w:t xml:space="preserve"> </w:t>
            </w:r>
            <w:r>
              <w:t>of this bill</w:t>
            </w:r>
            <w:r>
              <w:t xml:space="preserve"> and to </w:t>
            </w:r>
            <w:r w:rsidRPr="003F5E02">
              <w:t>the State Board of Veterinary Medical Examiners</w:t>
            </w:r>
            <w:r>
              <w:t xml:space="preserve"> in SECTION 5 of this bill</w:t>
            </w:r>
            <w:r>
              <w:t>.</w:t>
            </w:r>
          </w:p>
          <w:p w:rsidR="008423E4" w:rsidRPr="00E21FDC" w:rsidRDefault="0044189B" w:rsidP="00893F93">
            <w:pPr>
              <w:rPr>
                <w:b/>
              </w:rPr>
            </w:pPr>
          </w:p>
        </w:tc>
      </w:tr>
      <w:tr w:rsidR="00E8671D" w:rsidTr="00345119">
        <w:tc>
          <w:tcPr>
            <w:tcW w:w="9576" w:type="dxa"/>
          </w:tcPr>
          <w:p w:rsidR="008423E4" w:rsidRPr="00A8133F" w:rsidRDefault="0044189B" w:rsidP="00893F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  <w:p w:rsidR="008423E4" w:rsidRDefault="0044189B" w:rsidP="00893F93"/>
          <w:p w:rsidR="00427E09" w:rsidRDefault="0044189B" w:rsidP="00893F93">
            <w:pPr>
              <w:pStyle w:val="Header"/>
              <w:jc w:val="both"/>
            </w:pPr>
            <w:r>
              <w:t xml:space="preserve">C.S.H.B. 3284 </w:t>
            </w:r>
            <w:r>
              <w:t xml:space="preserve">amends the Health and Safety Code to </w:t>
            </w:r>
            <w:r>
              <w:t xml:space="preserve">require </w:t>
            </w:r>
            <w:r w:rsidRPr="00427E09">
              <w:t>a person prescribing or dispen</w:t>
            </w:r>
            <w:r>
              <w:t>sing a controlled substance to</w:t>
            </w:r>
            <w:r w:rsidRPr="00427E09">
              <w:t xml:space="preserve"> use the electronic prescription record and </w:t>
            </w:r>
            <w:r>
              <w:t xml:space="preserve">prohibits such </w:t>
            </w:r>
            <w:r>
              <w:t xml:space="preserve">a </w:t>
            </w:r>
            <w:r>
              <w:t>person from using</w:t>
            </w:r>
            <w:r w:rsidRPr="00427E09">
              <w:t xml:space="preserve"> a written, oral, or telephonically communicated prescription</w:t>
            </w:r>
            <w:r>
              <w:t xml:space="preserve"> unless</w:t>
            </w:r>
            <w:r>
              <w:t xml:space="preserve"> </w:t>
            </w:r>
            <w:r>
              <w:t xml:space="preserve">the prescription </w:t>
            </w:r>
            <w:r>
              <w:t>is</w:t>
            </w:r>
            <w:r>
              <w:t xml:space="preserve"> </w:t>
            </w:r>
            <w:r>
              <w:t>issued</w:t>
            </w:r>
            <w:r>
              <w:t xml:space="preserve"> </w:t>
            </w:r>
            <w:r>
              <w:t>as</w:t>
            </w:r>
            <w:r>
              <w:t xml:space="preserve"> follows</w:t>
            </w:r>
            <w:r>
              <w:t>: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by a veterinarian;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in circumstances in which electronic prescribing is</w:t>
            </w:r>
            <w:r>
              <w:t xml:space="preserve"> not available due to temporary technological or electronic failure, as prescribed by </w:t>
            </w:r>
            <w:r>
              <w:t>Texas State Board of Pharmacy (</w:t>
            </w:r>
            <w:r>
              <w:t>TSBP</w:t>
            </w:r>
            <w:r>
              <w:t>)</w:t>
            </w:r>
            <w:r>
              <w:t xml:space="preserve"> rule;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by a practitioner to be dispensed by a pharmacy located outside of Texas, as prescribed by TSBP rule;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when the prescriber and d</w:t>
            </w:r>
            <w:r>
              <w:t>ispenser are the same entity;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in circumstances in which necessary elements are not supported by the most recent electronic prescription drug software;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for a drug for which the U.S. Food and Drug Administration requires additional information in the prescri</w:t>
            </w:r>
            <w:r>
              <w:t>ption that is not possible with electronic prescribing;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for a non-patient-specific prescription pursuant to a standing order, approved protocol for drug therapy, collaborative drug management, or comprehensive medication management, in response to a public</w:t>
            </w:r>
            <w:r>
              <w:t xml:space="preserve"> health emergency or in other circumstances in which the practitioner may issue a non-patient-specific prescription;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for a drug under a research protocol;</w:t>
            </w:r>
          </w:p>
          <w:p w:rsidR="00180EB2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by a prescriber who is employed by or is practicing a health care profession at a health</w:t>
            </w:r>
            <w:r>
              <w:noBreakHyphen/>
            </w:r>
            <w:r>
              <w:t>related inst</w:t>
            </w:r>
            <w:r>
              <w:t>itution, as defined by reference;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by a practitioner who has received a waiver from the requirement to use electronic prescribing; or</w:t>
            </w:r>
          </w:p>
          <w:p w:rsidR="00C37505" w:rsidRDefault="0044189B" w:rsidP="00D318C8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under circumstances in which the practitioner has the present ability to submit an electronic prescription but reasonably </w:t>
            </w:r>
            <w:r>
              <w:t>determines that it would be impractical for the patient to obtain the drugs prescribed under the electronic prescription in a timely manner and that a delay would adversely impact the patient's medical condition.</w:t>
            </w:r>
          </w:p>
          <w:p w:rsidR="00504AF7" w:rsidRDefault="0044189B" w:rsidP="00893F93">
            <w:pPr>
              <w:pStyle w:val="Header"/>
              <w:spacing w:before="120"/>
              <w:jc w:val="both"/>
            </w:pPr>
            <w:r>
              <w:t>The bill</w:t>
            </w:r>
            <w:r>
              <w:t xml:space="preserve"> requires the TSBP to adopt rules e</w:t>
            </w:r>
            <w:r>
              <w:t xml:space="preserve">stablishing a process by which a practitioner may request and receive </w:t>
            </w:r>
            <w:r>
              <w:t xml:space="preserve">such </w:t>
            </w:r>
            <w:r>
              <w:t>a waiver, not to exceed one year, from the requirement to use electronic prescribing</w:t>
            </w:r>
            <w:r>
              <w:t xml:space="preserve"> and</w:t>
            </w:r>
            <w:r>
              <w:t xml:space="preserve"> </w:t>
            </w:r>
            <w:r>
              <w:t xml:space="preserve">rules </w:t>
            </w:r>
            <w:r>
              <w:t xml:space="preserve">establishing the eligibility for a waiver, including economic hardship, technological limitations not reasonably within the control of the practitioner, or other exceptional circumstances demonstrated by the practitioner. The bill requires a </w:t>
            </w:r>
            <w:r w:rsidRPr="00C37505">
              <w:t>written, oral,</w:t>
            </w:r>
            <w:r w:rsidRPr="00C37505">
              <w:t xml:space="preserve"> or telephonically communicated prescription </w:t>
            </w:r>
            <w:r>
              <w:t>to</w:t>
            </w:r>
            <w:r w:rsidRPr="00C37505">
              <w:t xml:space="preserve"> comply with the applicable requirements </w:t>
            </w:r>
            <w:r>
              <w:t>for</w:t>
            </w:r>
            <w:r>
              <w:t xml:space="preserve"> prescriptions under the Texas Controlled Substances Act and the official prescription program</w:t>
            </w:r>
            <w:r w:rsidRPr="00C37505">
              <w:t>.</w:t>
            </w:r>
            <w:r>
              <w:t xml:space="preserve"> The bill </w:t>
            </w:r>
            <w:r>
              <w:t>expressly does not require</w:t>
            </w:r>
            <w:r>
              <w:t xml:space="preserve"> a </w:t>
            </w:r>
            <w:r w:rsidRPr="00EB427C">
              <w:t>dispensing pharmacist who recei</w:t>
            </w:r>
            <w:r w:rsidRPr="00EB427C">
              <w:t>ves a controlled substance prescription in a manner other than electronically to verify that the prescription is exempt from the requirement that it be submitted electronically.</w:t>
            </w:r>
            <w:r>
              <w:t xml:space="preserve"> The bill requires the TSBP to enforce </w:t>
            </w:r>
            <w:r>
              <w:t>these</w:t>
            </w:r>
            <w:r>
              <w:t xml:space="preserve"> provisions relating to written, or</w:t>
            </w:r>
            <w:r>
              <w:t xml:space="preserve">al, and telephonically communicated </w:t>
            </w:r>
            <w:r>
              <w:t>prescriptions</w:t>
            </w:r>
            <w:r>
              <w:t>.</w:t>
            </w:r>
          </w:p>
          <w:p w:rsidR="00EB427C" w:rsidRDefault="0044189B" w:rsidP="00C052A9">
            <w:pPr>
              <w:pStyle w:val="Header"/>
              <w:contextualSpacing/>
              <w:jc w:val="both"/>
            </w:pPr>
          </w:p>
          <w:p w:rsidR="00504AF7" w:rsidRDefault="0044189B" w:rsidP="00C052A9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H.B. 3284 </w:t>
            </w:r>
            <w:r>
              <w:t xml:space="preserve">revises the conditions under which </w:t>
            </w:r>
            <w:r w:rsidRPr="00D00434">
              <w:t xml:space="preserve">the </w:t>
            </w:r>
            <w:r>
              <w:t>TSBP</w:t>
            </w:r>
            <w:r w:rsidRPr="00D00434">
              <w:t xml:space="preserve"> </w:t>
            </w:r>
            <w:r>
              <w:t xml:space="preserve">may </w:t>
            </w:r>
            <w:r w:rsidRPr="00D00434">
              <w:t xml:space="preserve">permit access to certain information </w:t>
            </w:r>
            <w:r>
              <w:t xml:space="preserve">submitted to the TSBP </w:t>
            </w:r>
            <w:r w:rsidRPr="00D00434">
              <w:t>relating to prescriptions for controlled substances</w:t>
            </w:r>
            <w:r>
              <w:t xml:space="preserve">, including </w:t>
            </w:r>
            <w:r>
              <w:t>by</w:t>
            </w:r>
            <w:r>
              <w:t xml:space="preserve"> </w:t>
            </w:r>
            <w:r>
              <w:t>making</w:t>
            </w:r>
            <w:r>
              <w:t xml:space="preserve"> the </w:t>
            </w:r>
            <w:r>
              <w:t>condit</w:t>
            </w:r>
            <w:r>
              <w:t xml:space="preserve">ion </w:t>
            </w:r>
            <w:r>
              <w:t xml:space="preserve">with regard to permitting access </w:t>
            </w:r>
            <w:r>
              <w:t xml:space="preserve">for </w:t>
            </w:r>
            <w:r>
              <w:t xml:space="preserve">the Department of Public Safety </w:t>
            </w:r>
            <w:r>
              <w:t xml:space="preserve">or </w:t>
            </w:r>
            <w:r>
              <w:t xml:space="preserve">certain </w:t>
            </w:r>
            <w:r>
              <w:t xml:space="preserve">other </w:t>
            </w:r>
            <w:r w:rsidRPr="007941E0">
              <w:t>law enforcement or prosecutorial official</w:t>
            </w:r>
            <w:r>
              <w:t>s</w:t>
            </w:r>
            <w:r>
              <w:t xml:space="preserve"> </w:t>
            </w:r>
            <w:r>
              <w:t xml:space="preserve">dependent </w:t>
            </w:r>
            <w:r>
              <w:t xml:space="preserve">on </w:t>
            </w:r>
            <w:r>
              <w:t xml:space="preserve">the TSBP being </w:t>
            </w:r>
            <w:r w:rsidRPr="007941E0">
              <w:t>provided a warrant, subpoena, or other court order compelling the disclosure</w:t>
            </w:r>
            <w:r>
              <w:t xml:space="preserve">. The bill </w:t>
            </w:r>
            <w:r>
              <w:t>authoriz</w:t>
            </w:r>
            <w:r>
              <w:t xml:space="preserve">es </w:t>
            </w:r>
            <w:r>
              <w:t xml:space="preserve">the TSBP to </w:t>
            </w:r>
            <w:r>
              <w:t xml:space="preserve">permit </w:t>
            </w:r>
            <w:r>
              <w:t>access to that information to</w:t>
            </w:r>
            <w:r>
              <w:t xml:space="preserve"> </w:t>
            </w:r>
            <w:r w:rsidRPr="007941E0">
              <w:t>a health care facility certified by the federal Centers for Medicare and Medicaid Services</w:t>
            </w:r>
            <w:r>
              <w:t xml:space="preserve">. </w:t>
            </w:r>
          </w:p>
          <w:p w:rsidR="00504AF7" w:rsidRDefault="0044189B" w:rsidP="00C052A9">
            <w:pPr>
              <w:pStyle w:val="Header"/>
              <w:contextualSpacing/>
              <w:jc w:val="both"/>
            </w:pPr>
          </w:p>
          <w:p w:rsidR="00554653" w:rsidRDefault="0044189B" w:rsidP="00C052A9">
            <w:pPr>
              <w:pStyle w:val="Header"/>
              <w:contextualSpacing/>
              <w:jc w:val="both"/>
            </w:pPr>
            <w:r>
              <w:t xml:space="preserve">C.S.H.B. 3284 requires the TSBP to make </w:t>
            </w:r>
            <w:r w:rsidRPr="00504AF7">
              <w:t>available to the State Board of Veterinary Medical Examiners</w:t>
            </w:r>
            <w:r>
              <w:t xml:space="preserve"> (TBVME)</w:t>
            </w:r>
            <w:r w:rsidRPr="00504AF7">
              <w:t xml:space="preserve"> for </w:t>
            </w:r>
            <w:r>
              <w:t xml:space="preserve">purposes </w:t>
            </w:r>
            <w:r w:rsidRPr="00504AF7">
              <w:t>of routine inspections and investigations</w:t>
            </w:r>
            <w:r>
              <w:t xml:space="preserve"> </w:t>
            </w:r>
            <w:r>
              <w:t xml:space="preserve">certain </w:t>
            </w:r>
            <w:r>
              <w:t xml:space="preserve">information </w:t>
            </w:r>
            <w:r>
              <w:t xml:space="preserve">reported to </w:t>
            </w:r>
            <w:r>
              <w:t xml:space="preserve">the Automation of Reports and Consolidated Orders System </w:t>
            </w:r>
            <w:r>
              <w:t xml:space="preserve">(ARCOS) </w:t>
            </w:r>
            <w:r>
              <w:t xml:space="preserve">of the Federal Drug Enforcement Administration </w:t>
            </w:r>
            <w:r>
              <w:t>and made available</w:t>
            </w:r>
            <w:r>
              <w:t xml:space="preserve"> to </w:t>
            </w:r>
            <w:r>
              <w:t>the TSBP by a wholesale distributo</w:t>
            </w:r>
            <w:r>
              <w:t xml:space="preserve">r </w:t>
            </w:r>
            <w:r>
              <w:t xml:space="preserve">regarding the distribution of a controlled substance by </w:t>
            </w:r>
            <w:r>
              <w:t>the</w:t>
            </w:r>
            <w:r>
              <w:t xml:space="preserve"> distributor to a person in Texas.</w:t>
            </w:r>
          </w:p>
          <w:p w:rsidR="00504AF7" w:rsidRDefault="0044189B" w:rsidP="00C052A9">
            <w:pPr>
              <w:pStyle w:val="Header"/>
              <w:contextualSpacing/>
              <w:jc w:val="both"/>
            </w:pPr>
          </w:p>
          <w:p w:rsidR="00504AF7" w:rsidRDefault="0044189B" w:rsidP="00C052A9">
            <w:pPr>
              <w:pStyle w:val="Header"/>
              <w:jc w:val="both"/>
            </w:pPr>
            <w:r>
              <w:t>C.S.H.B. 3284 requires the TSBP</w:t>
            </w:r>
            <w:r>
              <w:t xml:space="preserve"> to establish an advisory committee </w:t>
            </w:r>
            <w:r w:rsidRPr="00847A86">
              <w:t xml:space="preserve">to make recommendations regarding information submitted to the </w:t>
            </w:r>
            <w:r w:rsidRPr="00FA1C80">
              <w:t xml:space="preserve">TSBP </w:t>
            </w:r>
            <w:r w:rsidRPr="00847A86">
              <w:t>and access to that infor</w:t>
            </w:r>
            <w:r w:rsidRPr="00847A86">
              <w:t>mation under</w:t>
            </w:r>
            <w:r>
              <w:t xml:space="preserve"> Texas Controlled Substances Act provisions relating to prescriptions, the official prescription program, official prescription information and duties of the TSBP, and rules and the authority to contract, including recommendations for:</w:t>
            </w:r>
          </w:p>
          <w:p w:rsidR="00847A86" w:rsidRDefault="0044189B" w:rsidP="00893F9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operatio</w:t>
            </w:r>
            <w:r>
              <w:t>nal improvements to the electronic system that stores the information, including implementing best practices and improvements that address system weaknesses and workflow challenges;</w:t>
            </w:r>
          </w:p>
          <w:p w:rsidR="00847A86" w:rsidRDefault="0044189B" w:rsidP="00893F9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resolutions to identified data concerns;</w:t>
            </w:r>
          </w:p>
          <w:p w:rsidR="00847A86" w:rsidRDefault="0044189B" w:rsidP="00893F9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methods to improve data accuracy,</w:t>
            </w:r>
            <w:r>
              <w:t xml:space="preserve"> integrity, and security and to reduce technical difficulties; and</w:t>
            </w:r>
          </w:p>
          <w:p w:rsidR="00847A86" w:rsidRDefault="0044189B" w:rsidP="00893F9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addition of any new data set or service to the information submitted to the board or the access to that information.</w:t>
            </w:r>
          </w:p>
          <w:p w:rsidR="006121C3" w:rsidRDefault="0044189B" w:rsidP="00893F93">
            <w:pPr>
              <w:pStyle w:val="Header"/>
              <w:spacing w:before="120" w:after="120"/>
              <w:jc w:val="both"/>
            </w:pPr>
            <w:r>
              <w:t xml:space="preserve">The bill sets out </w:t>
            </w:r>
            <w:r>
              <w:t xml:space="preserve">the advisory committee's </w:t>
            </w:r>
            <w:r>
              <w:t>membership</w:t>
            </w:r>
            <w:r>
              <w:t xml:space="preserve"> and provides f</w:t>
            </w:r>
            <w:r>
              <w:t>or the</w:t>
            </w:r>
            <w:r>
              <w:t xml:space="preserve"> </w:t>
            </w:r>
            <w:r>
              <w:t xml:space="preserve">terms of its </w:t>
            </w:r>
            <w:r>
              <w:t>members</w:t>
            </w:r>
            <w:r>
              <w:t xml:space="preserve"> and </w:t>
            </w:r>
            <w:r>
              <w:t>the</w:t>
            </w:r>
            <w:r>
              <w:t xml:space="preserve"> elect</w:t>
            </w:r>
            <w:r>
              <w:t>ion of its</w:t>
            </w:r>
            <w:r>
              <w:t xml:space="preserve"> presiding officer and </w:t>
            </w:r>
            <w:r>
              <w:t xml:space="preserve">requires the advisory committee </w:t>
            </w:r>
            <w:r>
              <w:t>to meet at least two times a year at the call of the presiding officer or the TSBP. The bill establishes that a member of the advisory committee serve</w:t>
            </w:r>
            <w:r>
              <w:t xml:space="preserve">s without compensation </w:t>
            </w:r>
            <w:r>
              <w:t xml:space="preserve">but </w:t>
            </w:r>
            <w:r>
              <w:t>may be reimbursed by the TSBP</w:t>
            </w:r>
            <w:r w:rsidRPr="006121C3">
              <w:t xml:space="preserve"> for actual expenses incurred in performing</w:t>
            </w:r>
            <w:r>
              <w:t xml:space="preserve"> advisory committee duties.</w:t>
            </w:r>
          </w:p>
          <w:p w:rsidR="00554653" w:rsidRDefault="0044189B" w:rsidP="00893F93">
            <w:pPr>
              <w:pStyle w:val="Header"/>
              <w:spacing w:before="120"/>
              <w:jc w:val="both"/>
            </w:pPr>
          </w:p>
          <w:p w:rsidR="00EB341C" w:rsidRDefault="0044189B" w:rsidP="00C052A9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H.B. 3284 </w:t>
            </w:r>
            <w:r>
              <w:t xml:space="preserve">prohibits a </w:t>
            </w:r>
            <w:r>
              <w:t>person</w:t>
            </w:r>
            <w:r>
              <w:t xml:space="preserve"> authorized to receive </w:t>
            </w:r>
            <w:r>
              <w:t xml:space="preserve">prescription </w:t>
            </w:r>
            <w:r>
              <w:t xml:space="preserve">history </w:t>
            </w:r>
            <w:r>
              <w:t>information from disclosing or using the information</w:t>
            </w:r>
            <w:r>
              <w:t xml:space="preserve"> in a manner not authorized by</w:t>
            </w:r>
            <w:r>
              <w:t xml:space="preserve"> </w:t>
            </w:r>
            <w:r w:rsidRPr="00EA4FFA">
              <w:t>statutory provisions relating to the regulation of controlled substances, chemical precursors, and chemical laboratory apparatus</w:t>
            </w:r>
            <w:r>
              <w:t xml:space="preserve"> or other</w:t>
            </w:r>
            <w:r>
              <w:t xml:space="preserve"> law. The bill requires a regulatory agency that issues a license, certification, or registration to a prescriber or dispenser to periodically update the administrative penalties, or any applicable disciplinary guidelines concerning the penalties, assessed</w:t>
            </w:r>
            <w:r>
              <w:t xml:space="preserve"> by that agency for conduct that violates </w:t>
            </w:r>
            <w:r>
              <w:t xml:space="preserve">such a </w:t>
            </w:r>
            <w:r>
              <w:t>prohibition. The bill requires an applicable regulatory agency to set the penalties in an amount sufficient to deter the conduct.</w:t>
            </w:r>
            <w:r>
              <w:t xml:space="preserve"> </w:t>
            </w:r>
            <w:r>
              <w:t xml:space="preserve">The bill </w:t>
            </w:r>
            <w:r w:rsidRPr="00EB341C">
              <w:t xml:space="preserve">expands the conduct that constitutes </w:t>
            </w:r>
            <w:r>
              <w:t>fraud under the Texas Controlle</w:t>
            </w:r>
            <w:r>
              <w:t xml:space="preserve">d Substances Act to include </w:t>
            </w:r>
            <w:r>
              <w:t xml:space="preserve">possessing, obtaining, or attempting to possess or obtain a controlled substance or an increased quantity of a controlled substance through </w:t>
            </w:r>
            <w:r w:rsidRPr="00030EDB">
              <w:t>the use of a fraudulent electronic prescription</w:t>
            </w:r>
            <w:r>
              <w:t>.</w:t>
            </w:r>
            <w:r>
              <w:t xml:space="preserve"> </w:t>
            </w:r>
          </w:p>
          <w:p w:rsidR="00030EDB" w:rsidRDefault="0044189B" w:rsidP="00C052A9">
            <w:pPr>
              <w:pStyle w:val="Header"/>
              <w:contextualSpacing/>
              <w:jc w:val="both"/>
            </w:pPr>
          </w:p>
          <w:p w:rsidR="00030EDB" w:rsidRDefault="0044189B" w:rsidP="00C052A9">
            <w:pPr>
              <w:pStyle w:val="Header"/>
              <w:contextualSpacing/>
              <w:jc w:val="both"/>
            </w:pPr>
            <w:r>
              <w:t>C.S.H.B. 3284</w:t>
            </w:r>
            <w:r w:rsidRPr="00030EDB">
              <w:t xml:space="preserve"> amends the Occupations </w:t>
            </w:r>
            <w:r w:rsidRPr="00030EDB">
              <w:t xml:space="preserve">Code to expand the grounds on which the </w:t>
            </w:r>
            <w:r>
              <w:t>TSBP</w:t>
            </w:r>
            <w:r w:rsidRPr="00030EDB">
              <w:t xml:space="preserve"> may discipline an applicant or the holder of a nonresident pharmacy license </w:t>
            </w:r>
            <w:r>
              <w:t>to include</w:t>
            </w:r>
            <w:r w:rsidRPr="00030EDB">
              <w:t xml:space="preserve"> </w:t>
            </w:r>
            <w:r w:rsidRPr="00030EDB">
              <w:t>the TSBP find</w:t>
            </w:r>
            <w:r>
              <w:t>ing</w:t>
            </w:r>
            <w:r w:rsidRPr="00030EDB">
              <w:t xml:space="preserve"> that the applicant or license holder has failed to comply with provisions under the Texas Controlled Substa</w:t>
            </w:r>
            <w:r w:rsidRPr="00030EDB">
              <w:t xml:space="preserve">nces Act relating to </w:t>
            </w:r>
            <w:r>
              <w:t xml:space="preserve">the </w:t>
            </w:r>
            <w:r w:rsidRPr="003A4408">
              <w:t xml:space="preserve">regulation of </w:t>
            </w:r>
            <w:r>
              <w:t xml:space="preserve">the </w:t>
            </w:r>
            <w:r w:rsidRPr="003A4408">
              <w:t>manufacture, distribution, and dispensation of controlled substances, chemical precursors, and chemical laboratory apparatus</w:t>
            </w:r>
            <w:r>
              <w:t>.</w:t>
            </w:r>
          </w:p>
          <w:p w:rsidR="008F7745" w:rsidRDefault="0044189B" w:rsidP="00C052A9">
            <w:pPr>
              <w:pStyle w:val="Header"/>
              <w:contextualSpacing/>
              <w:jc w:val="both"/>
            </w:pPr>
          </w:p>
          <w:p w:rsidR="008F7745" w:rsidRDefault="0044189B" w:rsidP="00C052A9">
            <w:pPr>
              <w:pStyle w:val="Header"/>
              <w:contextualSpacing/>
              <w:jc w:val="both"/>
            </w:pPr>
            <w:r>
              <w:t>C.S.H.B.</w:t>
            </w:r>
            <w:r>
              <w:t xml:space="preserve"> </w:t>
            </w:r>
            <w:r>
              <w:t xml:space="preserve">3284 requires the </w:t>
            </w:r>
            <w:r>
              <w:t>TBVME</w:t>
            </w:r>
            <w:r>
              <w:t xml:space="preserve"> by rule to </w:t>
            </w:r>
            <w:r w:rsidRPr="008F7745">
              <w:t>require a veterinarian to complete two hou</w:t>
            </w:r>
            <w:r w:rsidRPr="008F7745">
              <w:t>rs of continuing education related to opioid abuse and controlled substance diversion, inventory, and security every two years to renew a license to practice veterinary medicine.</w:t>
            </w:r>
            <w:r>
              <w:t xml:space="preserve"> </w:t>
            </w:r>
            <w:r>
              <w:t>This</w:t>
            </w:r>
            <w:r>
              <w:t xml:space="preserve"> requirement </w:t>
            </w:r>
            <w:r w:rsidRPr="003A4408">
              <w:t>applies only to the renewal of a license to practice veterin</w:t>
            </w:r>
            <w:r w:rsidRPr="003A4408">
              <w:t>ary medicine on or after September 1, 2020</w:t>
            </w:r>
            <w:r>
              <w:t>.</w:t>
            </w:r>
          </w:p>
          <w:p w:rsidR="00A87A59" w:rsidRDefault="0044189B" w:rsidP="00C052A9">
            <w:pPr>
              <w:pStyle w:val="Header"/>
              <w:contextualSpacing/>
              <w:jc w:val="both"/>
            </w:pPr>
          </w:p>
          <w:p w:rsidR="00A87A59" w:rsidRDefault="0044189B" w:rsidP="00C052A9">
            <w:pPr>
              <w:pStyle w:val="Header"/>
              <w:contextualSpacing/>
              <w:jc w:val="both"/>
            </w:pPr>
            <w:r>
              <w:t xml:space="preserve">C.S.H.B. 3284 repeals </w:t>
            </w:r>
            <w:r w:rsidRPr="00A87A59">
              <w:t>Sections 481.076(a-3), (a-4), and (a-5)</w:t>
            </w:r>
            <w:r>
              <w:t>, Health and Safety Code.</w:t>
            </w:r>
          </w:p>
          <w:p w:rsidR="008423E4" w:rsidRPr="00835628" w:rsidRDefault="0044189B" w:rsidP="00893F93">
            <w:pPr>
              <w:rPr>
                <w:b/>
              </w:rPr>
            </w:pPr>
          </w:p>
        </w:tc>
      </w:tr>
      <w:tr w:rsidR="00E8671D" w:rsidTr="00345119">
        <w:tc>
          <w:tcPr>
            <w:tcW w:w="9576" w:type="dxa"/>
          </w:tcPr>
          <w:p w:rsidR="008423E4" w:rsidRPr="00A8133F" w:rsidRDefault="0044189B" w:rsidP="00893F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189B" w:rsidP="00893F93"/>
          <w:p w:rsidR="008423E4" w:rsidRPr="003624F2" w:rsidRDefault="0044189B" w:rsidP="00893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87A59">
              <w:t>September 1, 2019.</w:t>
            </w:r>
          </w:p>
          <w:p w:rsidR="008423E4" w:rsidRPr="00233FDB" w:rsidRDefault="0044189B" w:rsidP="00893F93">
            <w:pPr>
              <w:rPr>
                <w:b/>
              </w:rPr>
            </w:pPr>
          </w:p>
        </w:tc>
      </w:tr>
      <w:tr w:rsidR="00E8671D" w:rsidTr="00345119">
        <w:tc>
          <w:tcPr>
            <w:tcW w:w="9576" w:type="dxa"/>
          </w:tcPr>
          <w:p w:rsidR="00FE56FE" w:rsidRDefault="0044189B" w:rsidP="00FE56FE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52C8A" w:rsidRDefault="0044189B" w:rsidP="00FE56FE">
            <w:pPr>
              <w:contextualSpacing/>
              <w:jc w:val="both"/>
              <w:rPr>
                <w:b/>
                <w:u w:val="single"/>
              </w:rPr>
            </w:pPr>
          </w:p>
          <w:p w:rsidR="0071166B" w:rsidRDefault="0044189B" w:rsidP="0071166B">
            <w:pPr>
              <w:contextualSpacing/>
              <w:jc w:val="both"/>
            </w:pPr>
          </w:p>
          <w:p w:rsidR="0071166B" w:rsidRDefault="0044189B" w:rsidP="0071166B">
            <w:pPr>
              <w:contextualSpacing/>
              <w:jc w:val="both"/>
            </w:pPr>
            <w:r>
              <w:t xml:space="preserve">While C.S.H.B. 3284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71166B" w:rsidRDefault="0044189B" w:rsidP="0071166B">
            <w:pPr>
              <w:contextualSpacing/>
              <w:jc w:val="both"/>
            </w:pPr>
          </w:p>
          <w:p w:rsidR="0071166B" w:rsidRDefault="0044189B" w:rsidP="0071166B">
            <w:pPr>
              <w:contextualSpacing/>
              <w:jc w:val="both"/>
            </w:pPr>
            <w:r>
              <w:t>The substitute does not include the following provisions: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 dispensing vet</w:t>
            </w:r>
            <w:r>
              <w:t>erinarians to submit and retain certain information to the TSBP and a provision relating to disciplinary action for a failure to comply with that requirement;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certain limitation on a prescription for an opioid for the initial treatment of acute pain; and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limitation of liability for a prescriber or dispenser that failed to access certain prescription drug information or failed to submit certain information to the TSBP.</w:t>
            </w:r>
          </w:p>
          <w:p w:rsidR="0071166B" w:rsidRDefault="0044189B" w:rsidP="0071166B">
            <w:pPr>
              <w:contextualSpacing/>
              <w:jc w:val="both"/>
            </w:pPr>
          </w:p>
          <w:p w:rsidR="0071166B" w:rsidRDefault="0044189B" w:rsidP="0071166B">
            <w:pPr>
              <w:contextualSpacing/>
              <w:jc w:val="both"/>
            </w:pPr>
            <w:r>
              <w:t>The substitute includes the following provisions: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7"/>
              </w:numPr>
              <w:spacing w:before="120" w:after="120"/>
              <w:ind w:left="778"/>
              <w:contextualSpacing w:val="0"/>
              <w:jc w:val="both"/>
            </w:pPr>
            <w:r>
              <w:t>an authorization for a prescriber t</w:t>
            </w:r>
            <w:r>
              <w:t xml:space="preserve">o issue </w:t>
            </w:r>
            <w:r w:rsidRPr="00F52C8A">
              <w:t>a written, oral, or telephonically communicated prescription for a controlled substance</w:t>
            </w:r>
            <w:r>
              <w:t xml:space="preserve"> for a prescription issued </w:t>
            </w:r>
            <w:r w:rsidRPr="00F52C8A">
              <w:t>by a prescriber who is employed by or is practicing a health care profession at a health-related institution</w:t>
            </w:r>
            <w:r>
              <w:t>;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7"/>
              </w:numPr>
              <w:spacing w:before="120" w:after="120"/>
              <w:ind w:left="778"/>
              <w:contextualSpacing w:val="0"/>
              <w:jc w:val="both"/>
            </w:pPr>
            <w:r>
              <w:t>a requirement for the TS</w:t>
            </w:r>
            <w:r>
              <w:t xml:space="preserve">BP to make certain information reported to ARCOS available to the </w:t>
            </w:r>
            <w:r w:rsidRPr="009C02BB">
              <w:t>TBVME</w:t>
            </w:r>
            <w:r>
              <w:t>;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7"/>
              </w:numPr>
              <w:spacing w:before="120" w:after="120"/>
              <w:ind w:left="778"/>
              <w:contextualSpacing w:val="0"/>
              <w:jc w:val="both"/>
            </w:pPr>
            <w:r>
              <w:t>provisions establishing an advisory committee to make recommendations regarding certain information submitted to the TSBP; and</w:t>
            </w:r>
          </w:p>
          <w:p w:rsidR="0071166B" w:rsidRDefault="0044189B" w:rsidP="0071166B">
            <w:pPr>
              <w:pStyle w:val="ListParagraph"/>
              <w:numPr>
                <w:ilvl w:val="0"/>
                <w:numId w:val="7"/>
              </w:numPr>
              <w:spacing w:before="120" w:after="120"/>
              <w:ind w:left="778"/>
              <w:contextualSpacing w:val="0"/>
              <w:jc w:val="both"/>
            </w:pPr>
            <w:r>
              <w:t>a provision requiring certain continuing education for a</w:t>
            </w:r>
            <w:r>
              <w:t xml:space="preserve"> veterinarian </w:t>
            </w:r>
            <w:r w:rsidRPr="006E38CA">
              <w:t>to renew a license to practice veterinary medicine</w:t>
            </w:r>
            <w:r>
              <w:t>.</w:t>
            </w:r>
          </w:p>
          <w:p w:rsidR="0071166B" w:rsidRDefault="0044189B" w:rsidP="0071166B">
            <w:pPr>
              <w:contextualSpacing/>
              <w:jc w:val="both"/>
            </w:pPr>
          </w:p>
          <w:p w:rsidR="0071166B" w:rsidRDefault="0044189B" w:rsidP="0071166B">
            <w:pPr>
              <w:contextualSpacing/>
              <w:jc w:val="both"/>
            </w:pPr>
            <w:r>
              <w:t xml:space="preserve">The substitute changes the </w:t>
            </w:r>
            <w:r w:rsidRPr="00AB4D62">
              <w:t>grounds on which the TSBP may discipline an applicant or the holder of a nonresident pharmacy license</w:t>
            </w:r>
            <w:r>
              <w:t xml:space="preserve"> regarding a</w:t>
            </w:r>
            <w:r w:rsidRPr="00AB4D62">
              <w:t xml:space="preserve"> finding </w:t>
            </w:r>
            <w:r>
              <w:t>of noncompliance from a finding the appl</w:t>
            </w:r>
            <w:r>
              <w:t xml:space="preserve">icant or license holder has failed to comply with the applicable bill </w:t>
            </w:r>
            <w:r w:rsidRPr="00D47256">
              <w:t xml:space="preserve">provisions </w:t>
            </w:r>
            <w:r>
              <w:t xml:space="preserve">and certain provisions </w:t>
            </w:r>
            <w:r w:rsidRPr="00D47256">
              <w:t>under the Texas Controlled Substances Act</w:t>
            </w:r>
            <w:r>
              <w:t xml:space="preserve"> to a finding the applicant or license holder has failed to comply with</w:t>
            </w:r>
            <w:r w:rsidRPr="00DB7D82">
              <w:t xml:space="preserve"> provisions under the </w:t>
            </w:r>
            <w:r>
              <w:t>act</w:t>
            </w:r>
            <w:r w:rsidRPr="00DB7D82">
              <w:t xml:space="preserve"> relating to th</w:t>
            </w:r>
            <w:r w:rsidRPr="00DB7D82">
              <w:t>e regulation of the manufacture, distribution, and dispensation of controlled substances, chemical precursors, and chemical laboratory apparatus</w:t>
            </w:r>
            <w:r>
              <w:t>.</w:t>
            </w:r>
          </w:p>
          <w:p w:rsidR="0071166B" w:rsidRPr="00FE56FE" w:rsidRDefault="0044189B" w:rsidP="0071166B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4418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189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89B">
      <w:r>
        <w:separator/>
      </w:r>
    </w:p>
  </w:endnote>
  <w:endnote w:type="continuationSeparator" w:id="0">
    <w:p w:rsidR="00000000" w:rsidRDefault="004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0" w:rsidRDefault="0044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671D" w:rsidTr="009C1E9A">
      <w:trPr>
        <w:cantSplit/>
      </w:trPr>
      <w:tc>
        <w:tcPr>
          <w:tcW w:w="0" w:type="pct"/>
        </w:tcPr>
        <w:p w:rsidR="00137D90" w:rsidRDefault="004418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18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18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18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18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71D" w:rsidTr="009C1E9A">
      <w:trPr>
        <w:cantSplit/>
      </w:trPr>
      <w:tc>
        <w:tcPr>
          <w:tcW w:w="0" w:type="pct"/>
        </w:tcPr>
        <w:p w:rsidR="00EC379B" w:rsidRDefault="004418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18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31036</w:t>
          </w:r>
        </w:p>
      </w:tc>
      <w:tc>
        <w:tcPr>
          <w:tcW w:w="2453" w:type="pct"/>
        </w:tcPr>
        <w:p w:rsidR="00EC379B" w:rsidRDefault="004418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19.120.1194</w:t>
          </w:r>
          <w:r>
            <w:fldChar w:fldCharType="end"/>
          </w:r>
        </w:p>
      </w:tc>
    </w:tr>
    <w:tr w:rsidR="00E8671D" w:rsidTr="009C1E9A">
      <w:trPr>
        <w:cantSplit/>
      </w:trPr>
      <w:tc>
        <w:tcPr>
          <w:tcW w:w="0" w:type="pct"/>
        </w:tcPr>
        <w:p w:rsidR="00EC379B" w:rsidRDefault="004418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18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28348</w:t>
          </w:r>
        </w:p>
      </w:tc>
      <w:tc>
        <w:tcPr>
          <w:tcW w:w="2453" w:type="pct"/>
        </w:tcPr>
        <w:p w:rsidR="00EC379B" w:rsidRDefault="0044189B" w:rsidP="006D504F">
          <w:pPr>
            <w:pStyle w:val="Footer"/>
            <w:rPr>
              <w:rStyle w:val="PageNumber"/>
            </w:rPr>
          </w:pPr>
        </w:p>
        <w:p w:rsidR="00EC379B" w:rsidRDefault="004418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7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18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4418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18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0" w:rsidRDefault="0044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89B">
      <w:r>
        <w:separator/>
      </w:r>
    </w:p>
  </w:footnote>
  <w:footnote w:type="continuationSeparator" w:id="0">
    <w:p w:rsidR="00000000" w:rsidRDefault="0044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0" w:rsidRDefault="00441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0" w:rsidRDefault="00441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0" w:rsidRDefault="00441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DB3"/>
    <w:multiLevelType w:val="hybridMultilevel"/>
    <w:tmpl w:val="D6507CE2"/>
    <w:lvl w:ilvl="0" w:tplc="4BC8C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4A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4A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E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D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82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EC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01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3658"/>
    <w:multiLevelType w:val="hybridMultilevel"/>
    <w:tmpl w:val="F4EA55EA"/>
    <w:lvl w:ilvl="0" w:tplc="56CC568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6FAC7B60" w:tentative="1">
      <w:start w:val="1"/>
      <w:numFmt w:val="lowerLetter"/>
      <w:lvlText w:val="%2."/>
      <w:lvlJc w:val="left"/>
      <w:pPr>
        <w:ind w:left="1440" w:hanging="360"/>
      </w:pPr>
    </w:lvl>
    <w:lvl w:ilvl="2" w:tplc="7FBA6154" w:tentative="1">
      <w:start w:val="1"/>
      <w:numFmt w:val="lowerRoman"/>
      <w:lvlText w:val="%3."/>
      <w:lvlJc w:val="right"/>
      <w:pPr>
        <w:ind w:left="2160" w:hanging="180"/>
      </w:pPr>
    </w:lvl>
    <w:lvl w:ilvl="3" w:tplc="2FA41A44" w:tentative="1">
      <w:start w:val="1"/>
      <w:numFmt w:val="decimal"/>
      <w:lvlText w:val="%4."/>
      <w:lvlJc w:val="left"/>
      <w:pPr>
        <w:ind w:left="2880" w:hanging="360"/>
      </w:pPr>
    </w:lvl>
    <w:lvl w:ilvl="4" w:tplc="29FC0FCA" w:tentative="1">
      <w:start w:val="1"/>
      <w:numFmt w:val="lowerLetter"/>
      <w:lvlText w:val="%5."/>
      <w:lvlJc w:val="left"/>
      <w:pPr>
        <w:ind w:left="3600" w:hanging="360"/>
      </w:pPr>
    </w:lvl>
    <w:lvl w:ilvl="5" w:tplc="236C457C" w:tentative="1">
      <w:start w:val="1"/>
      <w:numFmt w:val="lowerRoman"/>
      <w:lvlText w:val="%6."/>
      <w:lvlJc w:val="right"/>
      <w:pPr>
        <w:ind w:left="4320" w:hanging="180"/>
      </w:pPr>
    </w:lvl>
    <w:lvl w:ilvl="6" w:tplc="2FFE6F30" w:tentative="1">
      <w:start w:val="1"/>
      <w:numFmt w:val="decimal"/>
      <w:lvlText w:val="%7."/>
      <w:lvlJc w:val="left"/>
      <w:pPr>
        <w:ind w:left="5040" w:hanging="360"/>
      </w:pPr>
    </w:lvl>
    <w:lvl w:ilvl="7" w:tplc="19B22734" w:tentative="1">
      <w:start w:val="1"/>
      <w:numFmt w:val="lowerLetter"/>
      <w:lvlText w:val="%8."/>
      <w:lvlJc w:val="left"/>
      <w:pPr>
        <w:ind w:left="5760" w:hanging="360"/>
      </w:pPr>
    </w:lvl>
    <w:lvl w:ilvl="8" w:tplc="393E7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1B6A"/>
    <w:multiLevelType w:val="hybridMultilevel"/>
    <w:tmpl w:val="E0DC10AA"/>
    <w:lvl w:ilvl="0" w:tplc="D65AB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62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AA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A2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4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69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E6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5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2CEA"/>
    <w:multiLevelType w:val="hybridMultilevel"/>
    <w:tmpl w:val="A7C4B85C"/>
    <w:lvl w:ilvl="0" w:tplc="AC0CD6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3A73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5EC26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4C47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A827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93AB4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CC57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5AF6E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C0AD7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7B0EDD"/>
    <w:multiLevelType w:val="hybridMultilevel"/>
    <w:tmpl w:val="D8F84400"/>
    <w:lvl w:ilvl="0" w:tplc="75269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0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E8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4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6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40D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A4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EE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04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5D4A"/>
    <w:multiLevelType w:val="hybridMultilevel"/>
    <w:tmpl w:val="72DE446A"/>
    <w:lvl w:ilvl="0" w:tplc="B67E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A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87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D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4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01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6F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4A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0A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73F7"/>
    <w:multiLevelType w:val="hybridMultilevel"/>
    <w:tmpl w:val="ECC24E16"/>
    <w:lvl w:ilvl="0" w:tplc="5A44406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DB60F66" w:tentative="1">
      <w:start w:val="1"/>
      <w:numFmt w:val="lowerLetter"/>
      <w:lvlText w:val="%2."/>
      <w:lvlJc w:val="left"/>
      <w:pPr>
        <w:ind w:left="1440" w:hanging="360"/>
      </w:pPr>
    </w:lvl>
    <w:lvl w:ilvl="2" w:tplc="21F2C8C8" w:tentative="1">
      <w:start w:val="1"/>
      <w:numFmt w:val="lowerRoman"/>
      <w:lvlText w:val="%3."/>
      <w:lvlJc w:val="right"/>
      <w:pPr>
        <w:ind w:left="2160" w:hanging="180"/>
      </w:pPr>
    </w:lvl>
    <w:lvl w:ilvl="3" w:tplc="22546B56" w:tentative="1">
      <w:start w:val="1"/>
      <w:numFmt w:val="decimal"/>
      <w:lvlText w:val="%4."/>
      <w:lvlJc w:val="left"/>
      <w:pPr>
        <w:ind w:left="2880" w:hanging="360"/>
      </w:pPr>
    </w:lvl>
    <w:lvl w:ilvl="4" w:tplc="62EA497E" w:tentative="1">
      <w:start w:val="1"/>
      <w:numFmt w:val="lowerLetter"/>
      <w:lvlText w:val="%5."/>
      <w:lvlJc w:val="left"/>
      <w:pPr>
        <w:ind w:left="3600" w:hanging="360"/>
      </w:pPr>
    </w:lvl>
    <w:lvl w:ilvl="5" w:tplc="C9F2E4B2" w:tentative="1">
      <w:start w:val="1"/>
      <w:numFmt w:val="lowerRoman"/>
      <w:lvlText w:val="%6."/>
      <w:lvlJc w:val="right"/>
      <w:pPr>
        <w:ind w:left="4320" w:hanging="180"/>
      </w:pPr>
    </w:lvl>
    <w:lvl w:ilvl="6" w:tplc="24BCB488" w:tentative="1">
      <w:start w:val="1"/>
      <w:numFmt w:val="decimal"/>
      <w:lvlText w:val="%7."/>
      <w:lvlJc w:val="left"/>
      <w:pPr>
        <w:ind w:left="5040" w:hanging="360"/>
      </w:pPr>
    </w:lvl>
    <w:lvl w:ilvl="7" w:tplc="59EACDD8" w:tentative="1">
      <w:start w:val="1"/>
      <w:numFmt w:val="lowerLetter"/>
      <w:lvlText w:val="%8."/>
      <w:lvlJc w:val="left"/>
      <w:pPr>
        <w:ind w:left="5760" w:hanging="360"/>
      </w:pPr>
    </w:lvl>
    <w:lvl w:ilvl="8" w:tplc="68FCF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5A54"/>
    <w:multiLevelType w:val="hybridMultilevel"/>
    <w:tmpl w:val="3816EB26"/>
    <w:lvl w:ilvl="0" w:tplc="48DEC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22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C1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E8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EE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0E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E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1D"/>
    <w:rsid w:val="0044189B"/>
    <w:rsid w:val="00E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A1A170-2947-4236-8A61-E392BF2A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7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7E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E09"/>
    <w:rPr>
      <w:b/>
      <w:bCs/>
    </w:rPr>
  </w:style>
  <w:style w:type="paragraph" w:styleId="ListParagraph">
    <w:name w:val="List Paragraph"/>
    <w:basedOn w:val="Normal"/>
    <w:uiPriority w:val="34"/>
    <w:qFormat/>
    <w:rsid w:val="005C506B"/>
    <w:pPr>
      <w:ind w:left="720"/>
      <w:contextualSpacing/>
    </w:pPr>
  </w:style>
  <w:style w:type="paragraph" w:styleId="Revision">
    <w:name w:val="Revision"/>
    <w:hidden/>
    <w:uiPriority w:val="99"/>
    <w:semiHidden/>
    <w:rsid w:val="00FE0D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8670</Characters>
  <Application>Microsoft Office Word</Application>
  <DocSecurity>4</DocSecurity>
  <Lines>170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HB03284 (Committee Report (Substituted))</vt:lpstr>
    </vt:vector>
  </TitlesOfParts>
  <Company>State of Texas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31036</dc:subject>
  <dc:creator>State of Texas</dc:creator>
  <dc:description>HB 3284 by Sheffield-(H)Public Health (Substitute Document Number: 86R 28348)</dc:description>
  <cp:lastModifiedBy>Erin Conway</cp:lastModifiedBy>
  <cp:revision>2</cp:revision>
  <cp:lastPrinted>2003-11-26T17:21:00Z</cp:lastPrinted>
  <dcterms:created xsi:type="dcterms:W3CDTF">2019-04-30T23:44:00Z</dcterms:created>
  <dcterms:modified xsi:type="dcterms:W3CDTF">2019-04-30T23:44:00Z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19.120.1194</vt:lpwstr>
  </property>
</Properties>
</file>