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62C3" w:rsidTr="00345119">
        <w:tc>
          <w:tcPr>
            <w:tcW w:w="9576" w:type="dxa"/>
            <w:noWrap/>
          </w:tcPr>
          <w:p w:rsidR="008423E4" w:rsidRPr="0022177D" w:rsidRDefault="008052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52E7" w:rsidP="008423E4">
      <w:pPr>
        <w:jc w:val="center"/>
      </w:pPr>
    </w:p>
    <w:p w:rsidR="008423E4" w:rsidRPr="00B31F0E" w:rsidRDefault="008052E7" w:rsidP="008423E4"/>
    <w:p w:rsidR="008423E4" w:rsidRPr="00742794" w:rsidRDefault="008052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62C3" w:rsidTr="00345119">
        <w:tc>
          <w:tcPr>
            <w:tcW w:w="9576" w:type="dxa"/>
          </w:tcPr>
          <w:p w:rsidR="008423E4" w:rsidRPr="00861995" w:rsidRDefault="008052E7" w:rsidP="00345119">
            <w:pPr>
              <w:jc w:val="right"/>
            </w:pPr>
            <w:r>
              <w:t>C.S.H.B. 3285</w:t>
            </w:r>
          </w:p>
        </w:tc>
      </w:tr>
      <w:tr w:rsidR="006E62C3" w:rsidTr="00345119">
        <w:tc>
          <w:tcPr>
            <w:tcW w:w="9576" w:type="dxa"/>
          </w:tcPr>
          <w:p w:rsidR="008423E4" w:rsidRPr="00861995" w:rsidRDefault="008052E7" w:rsidP="00C74683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6E62C3" w:rsidTr="00345119">
        <w:tc>
          <w:tcPr>
            <w:tcW w:w="9576" w:type="dxa"/>
          </w:tcPr>
          <w:p w:rsidR="008423E4" w:rsidRPr="00861995" w:rsidRDefault="008052E7" w:rsidP="00345119">
            <w:pPr>
              <w:jc w:val="right"/>
            </w:pPr>
            <w:r>
              <w:t>Public Health</w:t>
            </w:r>
          </w:p>
        </w:tc>
      </w:tr>
      <w:tr w:rsidR="006E62C3" w:rsidTr="00345119">
        <w:tc>
          <w:tcPr>
            <w:tcW w:w="9576" w:type="dxa"/>
          </w:tcPr>
          <w:p w:rsidR="008423E4" w:rsidRDefault="008052E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52E7" w:rsidP="008423E4">
      <w:pPr>
        <w:tabs>
          <w:tab w:val="right" w:pos="9360"/>
        </w:tabs>
      </w:pPr>
    </w:p>
    <w:p w:rsidR="008423E4" w:rsidRDefault="008052E7" w:rsidP="008423E4"/>
    <w:p w:rsidR="008423E4" w:rsidRDefault="008052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62C3" w:rsidTr="00345119">
        <w:tc>
          <w:tcPr>
            <w:tcW w:w="9576" w:type="dxa"/>
          </w:tcPr>
          <w:p w:rsidR="008423E4" w:rsidRPr="00A8133F" w:rsidRDefault="008052E7" w:rsidP="00D529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52E7" w:rsidP="00D52914"/>
          <w:p w:rsidR="008423E4" w:rsidRDefault="008052E7" w:rsidP="00D52914">
            <w:pPr>
              <w:pStyle w:val="Header"/>
              <w:jc w:val="both"/>
            </w:pPr>
            <w:r>
              <w:t xml:space="preserve">While Texas has fared better than many other states, the number of deaths in Texas related to prescription drug and opioid abuse has risen dramatically in recent years. </w:t>
            </w:r>
            <w:r>
              <w:t xml:space="preserve">In an effort to prevent opioid addiction, misuse, and abuse in Texas, </w:t>
            </w:r>
            <w:r>
              <w:t>C.S.</w:t>
            </w:r>
            <w:r>
              <w:t>H.B. 3285 see</w:t>
            </w:r>
            <w:r>
              <w:t xml:space="preserve">ks to enact a number of varied programs and initiatives to tackle the opioid epidemic from all sides. </w:t>
            </w:r>
          </w:p>
          <w:p w:rsidR="008423E4" w:rsidRPr="00E26B13" w:rsidRDefault="008052E7" w:rsidP="00D52914">
            <w:pPr>
              <w:rPr>
                <w:b/>
              </w:rPr>
            </w:pPr>
          </w:p>
        </w:tc>
      </w:tr>
      <w:tr w:rsidR="006E62C3" w:rsidTr="00345119">
        <w:tc>
          <w:tcPr>
            <w:tcW w:w="9576" w:type="dxa"/>
          </w:tcPr>
          <w:p w:rsidR="0017725B" w:rsidRDefault="008052E7" w:rsidP="00D52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52E7" w:rsidP="00D52914">
            <w:pPr>
              <w:rPr>
                <w:b/>
                <w:u w:val="single"/>
              </w:rPr>
            </w:pPr>
          </w:p>
          <w:p w:rsidR="00EB3970" w:rsidRPr="00EB3970" w:rsidRDefault="008052E7" w:rsidP="00D52914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:rsidR="0017725B" w:rsidRPr="0017725B" w:rsidRDefault="008052E7" w:rsidP="00D52914">
            <w:pPr>
              <w:rPr>
                <w:b/>
                <w:u w:val="single"/>
              </w:rPr>
            </w:pPr>
          </w:p>
        </w:tc>
      </w:tr>
      <w:tr w:rsidR="006E62C3" w:rsidTr="00345119">
        <w:tc>
          <w:tcPr>
            <w:tcW w:w="9576" w:type="dxa"/>
          </w:tcPr>
          <w:p w:rsidR="008423E4" w:rsidRPr="00A8133F" w:rsidRDefault="008052E7" w:rsidP="00D529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52E7" w:rsidP="00D52914"/>
          <w:p w:rsidR="00EB3970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e</w:t>
            </w:r>
            <w:r>
              <w:t xml:space="preserve">xecutive </w:t>
            </w:r>
            <w:r>
              <w:t>c</w:t>
            </w:r>
            <w:r>
              <w:t>ommissioner of the Health and Human Services Commission in SECTION</w:t>
            </w:r>
            <w:r>
              <w:t>S</w:t>
            </w:r>
            <w:r>
              <w:t xml:space="preserve"> </w:t>
            </w:r>
            <w:r>
              <w:t>2</w:t>
            </w:r>
            <w:r>
              <w:t xml:space="preserve"> and </w:t>
            </w:r>
            <w:r>
              <w:t>5</w:t>
            </w:r>
            <w:r>
              <w:t xml:space="preserve"> </w:t>
            </w:r>
            <w:r>
              <w:t xml:space="preserve">of this bill </w:t>
            </w:r>
            <w:r>
              <w:t xml:space="preserve">and to the </w:t>
            </w:r>
            <w:r w:rsidRPr="00586087">
              <w:t>Texas State Board of Pharmacy</w:t>
            </w:r>
            <w:r>
              <w:t xml:space="preserve"> in SECTION </w:t>
            </w:r>
            <w:r>
              <w:t>6</w:t>
            </w:r>
            <w:r>
              <w:t xml:space="preserve"> of this bill.</w:t>
            </w:r>
          </w:p>
          <w:p w:rsidR="008423E4" w:rsidRPr="00E21FDC" w:rsidRDefault="008052E7" w:rsidP="00D52914">
            <w:pPr>
              <w:rPr>
                <w:b/>
              </w:rPr>
            </w:pPr>
          </w:p>
        </w:tc>
      </w:tr>
      <w:tr w:rsidR="006E62C3" w:rsidTr="00345119">
        <w:tc>
          <w:tcPr>
            <w:tcW w:w="9576" w:type="dxa"/>
          </w:tcPr>
          <w:p w:rsidR="008423E4" w:rsidRPr="00A8133F" w:rsidRDefault="008052E7" w:rsidP="00D529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52E7" w:rsidP="00D52914"/>
          <w:p w:rsidR="0005293C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3285 amends the Education Code to require the </w:t>
            </w:r>
            <w:r w:rsidRPr="0005293C">
              <w:t>Texas Higher Education Coordinating Board</w:t>
            </w:r>
            <w:r>
              <w:t xml:space="preserve"> to </w:t>
            </w:r>
            <w:r w:rsidRPr="0005293C">
              <w:t>encourage health-related institutions</w:t>
            </w:r>
            <w:r>
              <w:t xml:space="preserve">, as that term is defined for purposes of the governor's </w:t>
            </w:r>
            <w:r>
              <w:t>university research initiative</w:t>
            </w:r>
            <w:r>
              <w:t>,</w:t>
            </w:r>
            <w:r>
              <w:t xml:space="preserve"> </w:t>
            </w:r>
            <w:r w:rsidRPr="0005293C">
              <w:t>and the faculty of those institutions to individually or through collaborative effort</w:t>
            </w:r>
            <w:r w:rsidRPr="0005293C">
              <w:t xml:space="preserve"> conduct research, for public health purposes, regarding substance use disorders and addiction issues involving prescription drugs.</w:t>
            </w:r>
          </w:p>
          <w:p w:rsidR="00323F97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23F97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>
              <w:t xml:space="preserve">3285 amends the Government Code to require the executive commissioner </w:t>
            </w:r>
            <w:r w:rsidRPr="00323F97">
              <w:t xml:space="preserve">of the Health and Human Services Commission </w:t>
            </w:r>
            <w:r w:rsidRPr="00323F97">
              <w:t>(HHSC)</w:t>
            </w:r>
            <w:r>
              <w:t xml:space="preserve"> to </w:t>
            </w:r>
            <w:r w:rsidRPr="00323F97">
              <w:t xml:space="preserve">establish </w:t>
            </w:r>
            <w:r>
              <w:t xml:space="preserve">by rule </w:t>
            </w:r>
            <w:r w:rsidRPr="00323F97">
              <w:t>a program to increase opportunities and expand access to telehealth treatment for substance use disorders in</w:t>
            </w:r>
            <w:r>
              <w:t xml:space="preserve"> Texas. </w:t>
            </w:r>
          </w:p>
          <w:p w:rsidR="00323F97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23F97" w:rsidRDefault="008052E7" w:rsidP="00D52914">
            <w:pPr>
              <w:pStyle w:val="Header"/>
              <w:jc w:val="both"/>
            </w:pPr>
            <w:r>
              <w:t xml:space="preserve">C.S.H.B. 3285 requires the criminal justice division of the governor's office to </w:t>
            </w:r>
            <w:r w:rsidRPr="00323F97">
              <w:t>establish and administer a gr</w:t>
            </w:r>
            <w:r w:rsidRPr="00323F97">
              <w:t xml:space="preserve">ant program to provide financial assistance to a law enforcement agency in </w:t>
            </w:r>
            <w:r>
              <w:t>Texas</w:t>
            </w:r>
            <w:r w:rsidRPr="00323F97">
              <w:t xml:space="preserve"> that seeks to provide opioid antagonists to peace officers, evidence technicians, and related personnel who, in the course of performing their duties, are likely to come into </w:t>
            </w:r>
            <w:r w:rsidRPr="00323F97">
              <w:t>contact with opioids or encounter persons suffering from an apparent opioid-related drug overdose.</w:t>
            </w:r>
            <w:r>
              <w:t xml:space="preserve"> </w:t>
            </w:r>
            <w:r>
              <w:t>An</w:t>
            </w:r>
            <w:r>
              <w:t xml:space="preserve"> agency </w:t>
            </w:r>
            <w:r>
              <w:t>may</w:t>
            </w:r>
            <w:r>
              <w:t xml:space="preserve"> apply for </w:t>
            </w:r>
            <w:r>
              <w:t>a</w:t>
            </w:r>
            <w:r>
              <w:t xml:space="preserve"> grant only if </w:t>
            </w:r>
            <w:r w:rsidRPr="00323F97">
              <w:t>the agency first adopts a policy addressing the usage of an opioid antagonist for a person suffering from an apparent</w:t>
            </w:r>
            <w:r w:rsidRPr="00323F97">
              <w:t xml:space="preserve"> opioid-related drug overdose.</w:t>
            </w:r>
            <w:r>
              <w:t xml:space="preserve"> The bill </w:t>
            </w:r>
            <w:r>
              <w:t>sets out certain application requirements and</w:t>
            </w:r>
            <w:r>
              <w:t xml:space="preserve"> requires a</w:t>
            </w:r>
            <w:r>
              <w:t>n</w:t>
            </w:r>
            <w:r>
              <w:t xml:space="preserve"> agency receiving a grant, as soon as practicable after receiving the grant, to </w:t>
            </w:r>
            <w:r w:rsidRPr="00DA2B53">
              <w:t>provide to the division proof of purchase of the opioid antagonists.</w:t>
            </w:r>
            <w:r>
              <w:t xml:space="preserve"> The bill a</w:t>
            </w:r>
            <w:r>
              <w:t>uthorizes the division to use any money available for purposes of the grant</w:t>
            </w:r>
            <w:r>
              <w:t xml:space="preserve"> program</w:t>
            </w:r>
            <w:r>
              <w:t xml:space="preserve">. </w:t>
            </w:r>
          </w:p>
          <w:p w:rsidR="0005293C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A2B53" w:rsidRDefault="008052E7" w:rsidP="00D52914">
            <w:pPr>
              <w:pStyle w:val="Header"/>
              <w:jc w:val="both"/>
            </w:pPr>
            <w:r>
              <w:t>C.S.</w:t>
            </w:r>
            <w:r w:rsidRPr="006A53BA">
              <w:t xml:space="preserve">H.B. 3285 amends the Health and Safety Code to </w:t>
            </w:r>
            <w:r>
              <w:t xml:space="preserve">require the </w:t>
            </w:r>
            <w:r w:rsidRPr="00DA2B53">
              <w:t>Statewide Behavioral Health Coordinating Council</w:t>
            </w:r>
            <w:r>
              <w:t xml:space="preserve">, in </w:t>
            </w:r>
            <w:r w:rsidRPr="00DA2B53">
              <w:t xml:space="preserve">preparing the statewide behavioral health strategic </w:t>
            </w:r>
            <w:r w:rsidRPr="00DA2B53">
              <w:t>plan,</w:t>
            </w:r>
            <w:r>
              <w:t xml:space="preserve"> to incorporate, as a separate part of that plan, strategies regarding substance abuse issues that are developed by the council in cooperation with the Texas Medical Board and the Texas State Board of Pharmacy</w:t>
            </w:r>
            <w:r>
              <w:t xml:space="preserve"> (TSBP)</w:t>
            </w:r>
            <w:r>
              <w:t>, including</w:t>
            </w:r>
            <w:r>
              <w:t xml:space="preserve"> certain specified</w:t>
            </w:r>
            <w:r>
              <w:t xml:space="preserve"> strat</w:t>
            </w:r>
            <w:r>
              <w:t>egies</w:t>
            </w:r>
            <w:r>
              <w:t>.</w:t>
            </w:r>
          </w:p>
          <w:p w:rsidR="00DA2B53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63506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3285 </w:t>
            </w:r>
            <w:r w:rsidRPr="006A53BA">
              <w:t>require</w:t>
            </w:r>
            <w:r>
              <w:t>s</w:t>
            </w:r>
            <w:r w:rsidRPr="006A53BA">
              <w:t xml:space="preserve"> the executive commissioner</w:t>
            </w:r>
            <w:r>
              <w:t>, not later than December 1, 2019,</w:t>
            </w:r>
            <w:r w:rsidRPr="006A53BA">
              <w:t xml:space="preserve"> to develop </w:t>
            </w:r>
            <w:r>
              <w:t>by rule</w:t>
            </w:r>
            <w:r>
              <w:t xml:space="preserve"> </w:t>
            </w:r>
            <w:r w:rsidRPr="006A53BA">
              <w:t xml:space="preserve">a statewide public awareness campaign to deliver public service announcements that explain and clarify certain risks related to opioid misuse. </w:t>
            </w:r>
            <w:r>
              <w:t>Th</w:t>
            </w:r>
            <w:r>
              <w:t>e bill requires</w:t>
            </w:r>
            <w:r w:rsidRPr="006A53BA">
              <w:t xml:space="preserve"> the Department of State Health Services to implement</w:t>
            </w:r>
            <w:r>
              <w:t xml:space="preserve"> the campaign.</w:t>
            </w:r>
            <w:r>
              <w:t xml:space="preserve"> These provisions and the campaign expire August 31, 2023. </w:t>
            </w:r>
          </w:p>
          <w:p w:rsidR="00163506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A716C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3285</w:t>
            </w:r>
            <w:r w:rsidRPr="006A53BA">
              <w:t xml:space="preserve"> requires the executive commissioner, </w:t>
            </w:r>
            <w:r>
              <w:t xml:space="preserve">not later than December 1, 2019, and </w:t>
            </w:r>
            <w:r w:rsidRPr="006A53BA">
              <w:t xml:space="preserve">from funds available, to </w:t>
            </w:r>
            <w:r w:rsidRPr="006A53BA">
              <w:t xml:space="preserve">establish a program to provide opioid antagonists for the prevention of opioid overdoses in a manner determined by the executive commissioner to best accomplish that purpose. The </w:t>
            </w:r>
            <w:r>
              <w:t xml:space="preserve">executive commissioner may provide the </w:t>
            </w:r>
            <w:r w:rsidRPr="006A53BA">
              <w:t xml:space="preserve">antagonists </w:t>
            </w:r>
            <w:r>
              <w:t xml:space="preserve">under the program </w:t>
            </w:r>
            <w:r w:rsidRPr="006A53BA">
              <w:t>to emerg</w:t>
            </w:r>
            <w:r w:rsidRPr="006A53BA">
              <w:t>ency medical services personnel, first responders, public schools, community centers, and other persons likely to be in a position to respond to an opioid overdose. The bill authorizes HHSC to accept gifts, grants, and donations to be used in administering</w:t>
            </w:r>
            <w:r w:rsidRPr="006A53BA">
              <w:t xml:space="preserve"> </w:t>
            </w:r>
            <w:r>
              <w:t>the program</w:t>
            </w:r>
            <w:r w:rsidRPr="006A53BA">
              <w:t xml:space="preserve"> and requires the executive commissioner to adopt rules </w:t>
            </w:r>
            <w:r>
              <w:t xml:space="preserve">as </w:t>
            </w:r>
            <w:r w:rsidRPr="006A53BA">
              <w:t xml:space="preserve">necessary to implement </w:t>
            </w:r>
            <w:r>
              <w:t>the program</w:t>
            </w:r>
            <w:r w:rsidRPr="006A53BA">
              <w:t>.</w:t>
            </w:r>
          </w:p>
          <w:p w:rsidR="004A716C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F001F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3285</w:t>
            </w:r>
            <w:r w:rsidRPr="006A53BA">
              <w:t xml:space="preserve"> </w:t>
            </w:r>
            <w:r>
              <w:t>requires</w:t>
            </w:r>
            <w:r w:rsidRPr="006A53BA">
              <w:t xml:space="preserve"> a prescriber or dispenser whose practice includes the prescription or dispensation of opioids</w:t>
            </w:r>
            <w:r>
              <w:t xml:space="preserve"> </w:t>
            </w:r>
            <w:r w:rsidRPr="006A53BA">
              <w:t xml:space="preserve">to attend </w:t>
            </w:r>
            <w:r>
              <w:t>annually at least one</w:t>
            </w:r>
            <w:r>
              <w:t xml:space="preserve"> hour of </w:t>
            </w:r>
            <w:r w:rsidRPr="006A53BA">
              <w:t xml:space="preserve">continuing education covering </w:t>
            </w:r>
            <w:r w:rsidRPr="004255B0">
              <w:t>best practices, alternative treatment options, and multi-modal approaches to pain management that may include physical therapy, psycho</w:t>
            </w:r>
            <w:r>
              <w:t>therapy, and other treatments</w:t>
            </w:r>
            <w:r w:rsidRPr="006A53BA">
              <w:t>. The bill requires the TSBP to adopt rules to establi</w:t>
            </w:r>
            <w:r w:rsidRPr="006A53BA">
              <w:t>sh the content of the continuing education and authorizes the TSBP to collaborate with private and public institutions of higher education and hospitals in establishing the content of the continuing education.</w:t>
            </w:r>
            <w:r>
              <w:t xml:space="preserve"> These provisions expire August 31, 202</w:t>
            </w:r>
            <w:r>
              <w:t>3</w:t>
            </w:r>
            <w:r>
              <w:t>.</w:t>
            </w:r>
          </w:p>
          <w:p w:rsidR="000F785F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F001F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3285 requires the executive commissioner to </w:t>
            </w:r>
            <w:r w:rsidRPr="000F785F">
              <w:t>ensure that data is collected by the Department of State Health Services (DSHS) regarding opioid overdose deaths and the co</w:t>
            </w:r>
            <w:r>
              <w:noBreakHyphen/>
            </w:r>
            <w:r w:rsidRPr="000F785F">
              <w:t>occurrence of substance use disorders and mental illness.</w:t>
            </w:r>
            <w:r>
              <w:t xml:space="preserve"> The bill authorizes D</w:t>
            </w:r>
            <w:r>
              <w:t xml:space="preserve">SHS to </w:t>
            </w:r>
            <w:r w:rsidRPr="000F785F">
              <w:t xml:space="preserve">use data collected by the vital statistics unit and any other source available </w:t>
            </w:r>
            <w:r>
              <w:t>to DSHS</w:t>
            </w:r>
            <w:r w:rsidRPr="000F785F">
              <w:t>.</w:t>
            </w:r>
            <w:r>
              <w:t xml:space="preserve"> The bill requires DSHS, in analyzing the collected data, to </w:t>
            </w:r>
            <w:r w:rsidRPr="000F785F">
              <w:t xml:space="preserve">evaluate the capacity in </w:t>
            </w:r>
            <w:r>
              <w:t>Texas</w:t>
            </w:r>
            <w:r w:rsidRPr="000F785F">
              <w:t xml:space="preserve"> for treat</w:t>
            </w:r>
            <w:r>
              <w:t>ing</w:t>
            </w:r>
            <w:r w:rsidRPr="000F785F">
              <w:t xml:space="preserve"> co</w:t>
            </w:r>
            <w:r>
              <w:noBreakHyphen/>
            </w:r>
            <w:r w:rsidRPr="000F785F">
              <w:t>occurring substance use disorders and mental illness.</w:t>
            </w:r>
          </w:p>
          <w:p w:rsidR="000F785F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A749B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3285 </w:t>
            </w:r>
            <w:r>
              <w:t xml:space="preserve">amends the Human Resources Code to </w:t>
            </w:r>
            <w:r>
              <w:t xml:space="preserve">require HHSC to </w:t>
            </w:r>
            <w:r w:rsidRPr="000F785F">
              <w:t xml:space="preserve">provide </w:t>
            </w:r>
            <w:r>
              <w:t>Medicaid</w:t>
            </w:r>
            <w:r w:rsidRPr="000F785F">
              <w:t xml:space="preserve"> reimbursement for medication-assisted opioid or substance use disorder treatment</w:t>
            </w:r>
            <w:r>
              <w:t>, with certain exceptions,</w:t>
            </w:r>
            <w:r w:rsidRPr="000F785F">
              <w:t xml:space="preserve"> without requiring a recipient of </w:t>
            </w:r>
            <w:r>
              <w:t>Medicaid</w:t>
            </w:r>
            <w:r w:rsidRPr="000F785F">
              <w:t xml:space="preserve"> or </w:t>
            </w:r>
            <w:r>
              <w:t xml:space="preserve">a </w:t>
            </w:r>
            <w:r w:rsidRPr="000F785F">
              <w:t>health care provide</w:t>
            </w:r>
            <w:r w:rsidRPr="000F785F">
              <w:t>r to obtain prior authorization or precertification for the treatment.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requirement </w:t>
            </w:r>
            <w:r>
              <w:t xml:space="preserve">to provide such reimbursement </w:t>
            </w:r>
            <w:r>
              <w:t>applies</w:t>
            </w:r>
            <w:r w:rsidRPr="00AA749B">
              <w:t xml:space="preserve"> only </w:t>
            </w:r>
            <w:r>
              <w:t>with respect to</w:t>
            </w:r>
            <w:r w:rsidRPr="00AA749B">
              <w:t xml:space="preserve"> treatment prescribed to a </w:t>
            </w:r>
            <w:r>
              <w:t xml:space="preserve">Medicaid </w:t>
            </w:r>
            <w:r w:rsidRPr="00AA749B">
              <w:t>recipient by a licensed health care provider who is authorized to prescribe</w:t>
            </w:r>
            <w:r w:rsidRPr="00AA749B">
              <w:t xml:space="preserve"> methadone, buprenorphine, oral buprenorphine/naloxone, or naltrexone.</w:t>
            </w:r>
            <w:r>
              <w:t xml:space="preserve"> These provisions expire August 31, 2023. </w:t>
            </w:r>
          </w:p>
          <w:p w:rsidR="00AA749B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72CDF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>
              <w:t xml:space="preserve">3285 </w:t>
            </w:r>
            <w:r>
              <w:t>amends the Occupations Code to make provisions regulati</w:t>
            </w:r>
            <w:r>
              <w:t>ng</w:t>
            </w:r>
            <w:r>
              <w:t xml:space="preserve"> pain management clinics applicable to </w:t>
            </w:r>
            <w:r w:rsidRPr="00AA749B">
              <w:t>a clinic owned or operated by an</w:t>
            </w:r>
            <w:r w:rsidRPr="00AA749B">
              <w:t xml:space="preserve"> advanced practice nurse licensed in </w:t>
            </w:r>
            <w:r>
              <w:t>Texas</w:t>
            </w:r>
            <w:r w:rsidRPr="00AA749B">
              <w:t xml:space="preserve"> who treats patients in the nurse's area of specialty and who personally uses other forms of treatment with the issuance of a prescription for a majority of the patients</w:t>
            </w:r>
            <w:r>
              <w:t xml:space="preserve">. The bill requires the TSBP to </w:t>
            </w:r>
            <w:r w:rsidRPr="00AA749B">
              <w:t>encourage pha</w:t>
            </w:r>
            <w:r w:rsidRPr="00AA749B">
              <w:t>rmacists to participate in a program that provides a comprehensive approach to the delivery of early intervention and treatment services for persons with substance use disorders and persons who are at risk of developing substance use disorders.</w:t>
            </w:r>
            <w:r>
              <w:t xml:space="preserve">  </w:t>
            </w:r>
          </w:p>
          <w:p w:rsidR="008423E4" w:rsidRPr="00835628" w:rsidRDefault="008052E7" w:rsidP="00D52914">
            <w:pPr>
              <w:rPr>
                <w:b/>
              </w:rPr>
            </w:pPr>
          </w:p>
        </w:tc>
      </w:tr>
      <w:tr w:rsidR="006E62C3" w:rsidTr="00345119">
        <w:tc>
          <w:tcPr>
            <w:tcW w:w="9576" w:type="dxa"/>
          </w:tcPr>
          <w:p w:rsidR="008423E4" w:rsidRPr="00A8133F" w:rsidRDefault="008052E7" w:rsidP="00D529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8052E7" w:rsidP="00D52914"/>
          <w:p w:rsidR="008423E4" w:rsidRPr="003624F2" w:rsidRDefault="008052E7" w:rsidP="00D5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052E7" w:rsidP="00D52914">
            <w:pPr>
              <w:rPr>
                <w:b/>
              </w:rPr>
            </w:pPr>
          </w:p>
        </w:tc>
      </w:tr>
      <w:tr w:rsidR="006E62C3" w:rsidTr="00345119">
        <w:tc>
          <w:tcPr>
            <w:tcW w:w="9576" w:type="dxa"/>
          </w:tcPr>
          <w:p w:rsidR="00C74683" w:rsidRDefault="008052E7" w:rsidP="00D5291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06F9A" w:rsidRDefault="008052E7" w:rsidP="00D52914">
            <w:pPr>
              <w:jc w:val="both"/>
            </w:pPr>
          </w:p>
          <w:p w:rsidR="00B06F9A" w:rsidRDefault="008052E7" w:rsidP="00D52914">
            <w:pPr>
              <w:jc w:val="both"/>
            </w:pPr>
            <w:r>
              <w:t>While C.S.H.B. 3285 may differ from the original in minor or nonsubstantive ways, the following summarizes the substantial differences between the introduced and committee substitute ver</w:t>
            </w:r>
            <w:r>
              <w:t>sions of the bill.</w:t>
            </w:r>
          </w:p>
          <w:p w:rsidR="00B06F9A" w:rsidRDefault="008052E7" w:rsidP="00D52914">
            <w:pPr>
              <w:jc w:val="both"/>
            </w:pPr>
          </w:p>
          <w:p w:rsidR="00C5381A" w:rsidRDefault="008052E7" w:rsidP="00D52914">
            <w:pPr>
              <w:jc w:val="both"/>
            </w:pPr>
            <w:r>
              <w:t>The substitute includes provisions relating to the following:</w:t>
            </w:r>
          </w:p>
          <w:p w:rsidR="00B06F9A" w:rsidRDefault="008052E7" w:rsidP="00D5291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B06F9A">
              <w:t>research</w:t>
            </w:r>
            <w:r>
              <w:t xml:space="preserve"> on</w:t>
            </w:r>
            <w:r w:rsidRPr="00B06F9A">
              <w:t xml:space="preserve"> substance use disorders and addiction issues involving prescription drugs</w:t>
            </w:r>
            <w:r>
              <w:t>;</w:t>
            </w:r>
          </w:p>
          <w:p w:rsidR="00B06F9A" w:rsidRDefault="008052E7" w:rsidP="00D5291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F646F5">
              <w:t>telehealth treatment for substance use disorders</w:t>
            </w:r>
            <w:r>
              <w:t>;</w:t>
            </w:r>
          </w:p>
          <w:p w:rsidR="00C5381A" w:rsidRDefault="008052E7" w:rsidP="00D5291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an opioid antagonist grant program; </w:t>
            </w:r>
          </w:p>
          <w:p w:rsidR="00F646F5" w:rsidRDefault="008052E7" w:rsidP="00D5291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</w:t>
            </w:r>
            <w:r w:rsidRPr="00F646F5">
              <w:t>statewide behavioral health strategic plan</w:t>
            </w:r>
            <w:r>
              <w:t xml:space="preserve"> developed by the </w:t>
            </w:r>
            <w:r w:rsidRPr="00F646F5">
              <w:t>Statewide Behavioral Health Coordinating Council</w:t>
            </w:r>
            <w:r>
              <w:t>;</w:t>
            </w:r>
          </w:p>
          <w:p w:rsidR="00C5381A" w:rsidRDefault="008052E7" w:rsidP="00D5291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data collection and analysis regarding opioid overdose deaths and co-occurring substance use disorder</w:t>
            </w:r>
            <w:r>
              <w:t>s</w:t>
            </w:r>
            <w:r>
              <w:t>;</w:t>
            </w:r>
          </w:p>
          <w:p w:rsidR="00C5381A" w:rsidRDefault="008052E7" w:rsidP="00D5291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Medicaid reimbursement for medication-</w:t>
            </w:r>
            <w:r>
              <w:t>assisted treatment of opioid or substance use disorder; and</w:t>
            </w:r>
          </w:p>
          <w:p w:rsidR="00F646F5" w:rsidRDefault="008052E7" w:rsidP="00D5291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encouraged participation of pharmacists in a program that provides a </w:t>
            </w:r>
            <w:r>
              <w:t xml:space="preserve">comprehensive substance use disorder </w:t>
            </w:r>
            <w:r>
              <w:t xml:space="preserve">early intervention and treatment </w:t>
            </w:r>
            <w:r>
              <w:t>approach.</w:t>
            </w:r>
          </w:p>
          <w:p w:rsidR="00E70A27" w:rsidRDefault="008052E7" w:rsidP="00D52914">
            <w:pPr>
              <w:jc w:val="both"/>
            </w:pPr>
          </w:p>
          <w:p w:rsidR="00C77075" w:rsidRDefault="008052E7" w:rsidP="00D52914">
            <w:pPr>
              <w:jc w:val="both"/>
            </w:pPr>
            <w:r>
              <w:t>The substitute provides for the expiration</w:t>
            </w:r>
            <w:r>
              <w:t xml:space="preserve"> of </w:t>
            </w:r>
            <w:r>
              <w:t xml:space="preserve">the </w:t>
            </w:r>
            <w:r>
              <w:t xml:space="preserve">bill's provisions regarding </w:t>
            </w:r>
            <w:r>
              <w:t>the public awareness campaign on August 31, 2023.</w:t>
            </w:r>
          </w:p>
          <w:p w:rsidR="00E8037A" w:rsidRDefault="008052E7" w:rsidP="00D52914">
            <w:pPr>
              <w:jc w:val="both"/>
            </w:pPr>
          </w:p>
          <w:p w:rsidR="00E8037A" w:rsidRDefault="008052E7" w:rsidP="00D52914">
            <w:pPr>
              <w:jc w:val="both"/>
            </w:pPr>
            <w:r>
              <w:t>The substitute does not include law enforcement agencies among the entities to which the executive commissioner of HHSC may provide opioid antagonists under the opioid a</w:t>
            </w:r>
            <w:r>
              <w:t xml:space="preserve">ntagonist program. </w:t>
            </w:r>
          </w:p>
          <w:p w:rsidR="00E8037A" w:rsidRDefault="008052E7" w:rsidP="00D52914">
            <w:pPr>
              <w:jc w:val="both"/>
            </w:pPr>
          </w:p>
          <w:p w:rsidR="00E8037A" w:rsidRDefault="008052E7" w:rsidP="00D52914">
            <w:pPr>
              <w:jc w:val="both"/>
            </w:pPr>
            <w:r>
              <w:t>The substitute does not include provisions requiring a person dispensing a controlled substance under a prescription to provide a certain written notice to the person receiving the controlled substance and requiring the TSBP to maintai</w:t>
            </w:r>
            <w:r>
              <w:t xml:space="preserve">n a list </w:t>
            </w:r>
            <w:r w:rsidRPr="00E8037A">
              <w:t>of locations at which controlled substance prescription drugs are accepted for safe disposal</w:t>
            </w:r>
            <w:r>
              <w:t>.</w:t>
            </w:r>
          </w:p>
          <w:p w:rsidR="00E8037A" w:rsidRDefault="008052E7" w:rsidP="00D52914">
            <w:pPr>
              <w:jc w:val="both"/>
            </w:pPr>
          </w:p>
          <w:p w:rsidR="00E8037A" w:rsidRDefault="008052E7" w:rsidP="00D52914">
            <w:pPr>
              <w:jc w:val="both"/>
            </w:pPr>
            <w:r>
              <w:t xml:space="preserve">The substitute revises </w:t>
            </w:r>
            <w:r>
              <w:t xml:space="preserve">the bill </w:t>
            </w:r>
            <w:r>
              <w:t xml:space="preserve">provision </w:t>
            </w:r>
            <w:r>
              <w:t xml:space="preserve">establishing that </w:t>
            </w:r>
            <w:r>
              <w:t>a</w:t>
            </w:r>
            <w:r w:rsidRPr="00E8037A">
              <w:t xml:space="preserve"> prescriber or dispenser whose practice includes the prescription or dispensation of opioid</w:t>
            </w:r>
            <w:r w:rsidRPr="00E8037A">
              <w:t>s</w:t>
            </w:r>
            <w:r>
              <w:t xml:space="preserve"> </w:t>
            </w:r>
            <w:r>
              <w:t xml:space="preserve">is encouraged </w:t>
            </w:r>
            <w:r>
              <w:t xml:space="preserve">to attend certain related continuing education </w:t>
            </w:r>
            <w:r>
              <w:t>by requiring</w:t>
            </w:r>
            <w:r>
              <w:t xml:space="preserve"> such </w:t>
            </w:r>
            <w:r>
              <w:t>at</w:t>
            </w:r>
            <w:r>
              <w:t xml:space="preserve">tendance instead, by specifying that the </w:t>
            </w:r>
            <w:r>
              <w:t xml:space="preserve">prescriber or dispenser </w:t>
            </w:r>
            <w:r>
              <w:t>must</w:t>
            </w:r>
            <w:r>
              <w:t xml:space="preserve"> attend annually at least one hour of related continuing education</w:t>
            </w:r>
            <w:r>
              <w:t>, by revising</w:t>
            </w:r>
            <w:r>
              <w:t xml:space="preserve"> the required contents of</w:t>
            </w:r>
            <w:r>
              <w:t xml:space="preserve"> the continuing education</w:t>
            </w:r>
            <w:r>
              <w:t>,</w:t>
            </w:r>
            <w:r>
              <w:t xml:space="preserve"> and </w:t>
            </w:r>
            <w:r>
              <w:t xml:space="preserve">by </w:t>
            </w:r>
            <w:r>
              <w:t>provid</w:t>
            </w:r>
            <w:r>
              <w:t>ing</w:t>
            </w:r>
            <w:r>
              <w:t xml:space="preserve"> for an expiration of the requirement on August 31, 2023.</w:t>
            </w:r>
          </w:p>
          <w:p w:rsidR="00E8037A" w:rsidRDefault="008052E7" w:rsidP="00D52914">
            <w:pPr>
              <w:jc w:val="both"/>
            </w:pPr>
          </w:p>
          <w:p w:rsidR="00E70A27" w:rsidRDefault="008052E7" w:rsidP="00D52914">
            <w:pPr>
              <w:jc w:val="both"/>
            </w:pPr>
            <w:r>
              <w:t>The substitute does not include provisions establishing an opioid prescription work group.</w:t>
            </w:r>
          </w:p>
          <w:p w:rsidR="00E70A27" w:rsidRDefault="008052E7" w:rsidP="00D52914">
            <w:pPr>
              <w:jc w:val="both"/>
            </w:pPr>
          </w:p>
          <w:p w:rsidR="00F646F5" w:rsidRDefault="008052E7" w:rsidP="00D52914">
            <w:pPr>
              <w:jc w:val="both"/>
            </w:pPr>
            <w:r>
              <w:t xml:space="preserve">The substitute </w:t>
            </w:r>
            <w:r w:rsidRPr="00E70A27">
              <w:t>make</w:t>
            </w:r>
            <w:r>
              <w:t>s</w:t>
            </w:r>
            <w:r w:rsidRPr="00E70A27">
              <w:t xml:space="preserve"> provisions relating to the regulation of </w:t>
            </w:r>
            <w:r w:rsidRPr="00E70A27">
              <w:t>pain ma</w:t>
            </w:r>
            <w:r>
              <w:t>nagement clinics applicable to certain</w:t>
            </w:r>
            <w:r w:rsidRPr="00E70A27">
              <w:t xml:space="preserve"> clinic</w:t>
            </w:r>
            <w:r>
              <w:t>s</w:t>
            </w:r>
            <w:r>
              <w:t xml:space="preserve"> owned or operated by an advanced practice nurse</w:t>
            </w:r>
            <w:r>
              <w:t>.</w:t>
            </w:r>
          </w:p>
          <w:p w:rsidR="00E70A27" w:rsidRDefault="008052E7" w:rsidP="00D52914">
            <w:pPr>
              <w:jc w:val="both"/>
            </w:pPr>
          </w:p>
          <w:p w:rsidR="00B06F9A" w:rsidRPr="00B06F9A" w:rsidRDefault="008052E7" w:rsidP="00D52914">
            <w:pPr>
              <w:jc w:val="both"/>
            </w:pPr>
            <w:r>
              <w:t>The substitute changes the</w:t>
            </w:r>
            <w:r>
              <w:t xml:space="preserve"> bill's</w:t>
            </w:r>
            <w:r>
              <w:t xml:space="preserve"> effective date</w:t>
            </w:r>
            <w:r>
              <w:t xml:space="preserve"> </w:t>
            </w:r>
            <w:r>
              <w:t>provision</w:t>
            </w:r>
            <w:r>
              <w:t xml:space="preserve">. </w:t>
            </w:r>
          </w:p>
        </w:tc>
      </w:tr>
    </w:tbl>
    <w:p w:rsidR="008423E4" w:rsidRPr="00AE6BF8" w:rsidRDefault="008052E7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AE6BF8" w:rsidRDefault="008052E7" w:rsidP="008423E4">
      <w:pPr>
        <w:rPr>
          <w:sz w:val="2"/>
          <w:szCs w:val="2"/>
        </w:rPr>
      </w:pPr>
    </w:p>
    <w:sectPr w:rsidR="004108C3" w:rsidRPr="00AE6BF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2E7">
      <w:r>
        <w:separator/>
      </w:r>
    </w:p>
  </w:endnote>
  <w:endnote w:type="continuationSeparator" w:id="0">
    <w:p w:rsidR="00000000" w:rsidRDefault="008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5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62C3" w:rsidTr="009C1E9A">
      <w:trPr>
        <w:cantSplit/>
      </w:trPr>
      <w:tc>
        <w:tcPr>
          <w:tcW w:w="0" w:type="pct"/>
        </w:tcPr>
        <w:p w:rsidR="00137D90" w:rsidRDefault="00805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52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52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5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5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62C3" w:rsidTr="009C1E9A">
      <w:trPr>
        <w:cantSplit/>
      </w:trPr>
      <w:tc>
        <w:tcPr>
          <w:tcW w:w="0" w:type="pct"/>
        </w:tcPr>
        <w:p w:rsidR="00EC379B" w:rsidRDefault="00805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52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29805</w:t>
          </w:r>
        </w:p>
      </w:tc>
      <w:tc>
        <w:tcPr>
          <w:tcW w:w="2453" w:type="pct"/>
        </w:tcPr>
        <w:p w:rsidR="00EC379B" w:rsidRDefault="00805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19.116.693</w:t>
          </w:r>
          <w:r>
            <w:fldChar w:fldCharType="end"/>
          </w:r>
        </w:p>
      </w:tc>
    </w:tr>
    <w:tr w:rsidR="006E62C3" w:rsidTr="009C1E9A">
      <w:trPr>
        <w:cantSplit/>
      </w:trPr>
      <w:tc>
        <w:tcPr>
          <w:tcW w:w="0" w:type="pct"/>
        </w:tcPr>
        <w:p w:rsidR="00EC379B" w:rsidRDefault="008052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52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28280</w:t>
          </w:r>
        </w:p>
      </w:tc>
      <w:tc>
        <w:tcPr>
          <w:tcW w:w="2453" w:type="pct"/>
        </w:tcPr>
        <w:p w:rsidR="00EC379B" w:rsidRDefault="008052E7" w:rsidP="006D504F">
          <w:pPr>
            <w:pStyle w:val="Footer"/>
            <w:rPr>
              <w:rStyle w:val="PageNumber"/>
            </w:rPr>
          </w:pPr>
        </w:p>
        <w:p w:rsidR="00EC379B" w:rsidRDefault="00805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62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52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8052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52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2E7">
      <w:r>
        <w:separator/>
      </w:r>
    </w:p>
  </w:footnote>
  <w:footnote w:type="continuationSeparator" w:id="0">
    <w:p w:rsidR="00000000" w:rsidRDefault="008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5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5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5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2DE7"/>
    <w:multiLevelType w:val="hybridMultilevel"/>
    <w:tmpl w:val="87B2357C"/>
    <w:lvl w:ilvl="0" w:tplc="E0167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2E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0F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E8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F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08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CF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2A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4B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05C62"/>
    <w:multiLevelType w:val="hybridMultilevel"/>
    <w:tmpl w:val="D436CBBC"/>
    <w:lvl w:ilvl="0" w:tplc="92401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6B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64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6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CA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AD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66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AC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8EA"/>
    <w:multiLevelType w:val="hybridMultilevel"/>
    <w:tmpl w:val="595A5420"/>
    <w:lvl w:ilvl="0" w:tplc="86C0D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AE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01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87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E9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E5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A3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8C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C3"/>
    <w:rsid w:val="006E62C3"/>
    <w:rsid w:val="0080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E1583-4EFA-415A-A411-9F92258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53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3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3BA"/>
    <w:rPr>
      <w:b/>
      <w:bCs/>
    </w:rPr>
  </w:style>
  <w:style w:type="paragraph" w:styleId="ListParagraph">
    <w:name w:val="List Paragraph"/>
    <w:basedOn w:val="Normal"/>
    <w:uiPriority w:val="34"/>
    <w:qFormat/>
    <w:rsid w:val="00F646F5"/>
    <w:pPr>
      <w:ind w:left="720"/>
      <w:contextualSpacing/>
    </w:pPr>
  </w:style>
  <w:style w:type="paragraph" w:styleId="Revision">
    <w:name w:val="Revision"/>
    <w:hidden/>
    <w:uiPriority w:val="99"/>
    <w:semiHidden/>
    <w:rsid w:val="003E3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7826</Characters>
  <Application>Microsoft Office Word</Application>
  <DocSecurity>4</DocSecurity>
  <Lines>155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HB03285 (Committee Report (Substituted))</vt:lpstr>
    </vt:vector>
  </TitlesOfParts>
  <Company>State of Texas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29805</dc:subject>
  <dc:creator>State of Texas</dc:creator>
  <dc:description>HB 3285 by Sheffield-(H)Public Health (Substitute Document Number: 86R 28280)</dc:description>
  <cp:lastModifiedBy>Erin Conway</cp:lastModifiedBy>
  <cp:revision>2</cp:revision>
  <cp:lastPrinted>2019-04-25T22:51:00Z</cp:lastPrinted>
  <dcterms:created xsi:type="dcterms:W3CDTF">2019-04-30T23:30:00Z</dcterms:created>
  <dcterms:modified xsi:type="dcterms:W3CDTF">2019-04-30T23:30:00Z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19.116.693</vt:lpwstr>
  </property>
</Properties>
</file>