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2852" w:rsidTr="00345119">
        <w:tc>
          <w:tcPr>
            <w:tcW w:w="9576" w:type="dxa"/>
            <w:noWrap/>
          </w:tcPr>
          <w:p w:rsidR="008423E4" w:rsidRPr="0022177D" w:rsidRDefault="00C03B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3BFF" w:rsidP="008423E4">
      <w:pPr>
        <w:jc w:val="center"/>
      </w:pPr>
    </w:p>
    <w:p w:rsidR="008423E4" w:rsidRPr="00B31F0E" w:rsidRDefault="00C03BFF" w:rsidP="008423E4"/>
    <w:p w:rsidR="008423E4" w:rsidRPr="00742794" w:rsidRDefault="00C03B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2852" w:rsidTr="00345119">
        <w:tc>
          <w:tcPr>
            <w:tcW w:w="9576" w:type="dxa"/>
          </w:tcPr>
          <w:p w:rsidR="008423E4" w:rsidRPr="00861995" w:rsidRDefault="00C03BFF" w:rsidP="00345119">
            <w:pPr>
              <w:jc w:val="right"/>
            </w:pPr>
            <w:r>
              <w:t>C.S.H.B. 3290</w:t>
            </w:r>
          </w:p>
        </w:tc>
      </w:tr>
      <w:tr w:rsidR="00962852" w:rsidTr="00345119">
        <w:tc>
          <w:tcPr>
            <w:tcW w:w="9576" w:type="dxa"/>
          </w:tcPr>
          <w:p w:rsidR="008423E4" w:rsidRPr="00861995" w:rsidRDefault="00C03BFF" w:rsidP="004C1356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962852" w:rsidTr="00345119">
        <w:tc>
          <w:tcPr>
            <w:tcW w:w="9576" w:type="dxa"/>
          </w:tcPr>
          <w:p w:rsidR="008423E4" w:rsidRPr="00861995" w:rsidRDefault="00C03BFF" w:rsidP="00345119">
            <w:pPr>
              <w:jc w:val="right"/>
            </w:pPr>
            <w:r>
              <w:t>Public Education</w:t>
            </w:r>
          </w:p>
        </w:tc>
      </w:tr>
      <w:tr w:rsidR="00962852" w:rsidTr="00345119">
        <w:tc>
          <w:tcPr>
            <w:tcW w:w="9576" w:type="dxa"/>
          </w:tcPr>
          <w:p w:rsidR="008423E4" w:rsidRDefault="00C03BF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03BFF" w:rsidP="008423E4">
      <w:pPr>
        <w:tabs>
          <w:tab w:val="right" w:pos="9360"/>
        </w:tabs>
      </w:pPr>
    </w:p>
    <w:p w:rsidR="008423E4" w:rsidRDefault="00C03BFF" w:rsidP="008423E4"/>
    <w:p w:rsidR="008423E4" w:rsidRDefault="00C03B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2852" w:rsidTr="00345119">
        <w:tc>
          <w:tcPr>
            <w:tcW w:w="9576" w:type="dxa"/>
          </w:tcPr>
          <w:p w:rsidR="008423E4" w:rsidRPr="00A8133F" w:rsidRDefault="00C03BFF" w:rsidP="00CA0C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3BFF" w:rsidP="00CA0C82"/>
          <w:p w:rsidR="008423E4" w:rsidRDefault="00C03BFF" w:rsidP="00CA0C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7825EF">
              <w:t xml:space="preserve"> that not all </w:t>
            </w:r>
            <w:r>
              <w:t>school districts and applicable local law enforcement agencies</w:t>
            </w:r>
            <w:r w:rsidRPr="007825EF">
              <w:t xml:space="preserve"> have a coordinated plan to respond to special threats and emergencies </w:t>
            </w:r>
            <w:r>
              <w:t>at</w:t>
            </w:r>
            <w:r w:rsidRPr="007825EF">
              <w:t xml:space="preserve"> public school</w:t>
            </w:r>
            <w:r>
              <w:t>s</w:t>
            </w:r>
            <w:r w:rsidRPr="007825EF">
              <w:t xml:space="preserve">, which may result in delayed response times and increased risk for students. </w:t>
            </w:r>
            <w:r>
              <w:t>C.S.</w:t>
            </w:r>
            <w:r w:rsidRPr="007825EF">
              <w:t xml:space="preserve">H.B. 3290 seeks to improve school safety response protocols by </w:t>
            </w:r>
            <w:r>
              <w:t>providing for better co</w:t>
            </w:r>
            <w:r>
              <w:t xml:space="preserve">ordination between </w:t>
            </w:r>
            <w:r>
              <w:t xml:space="preserve">public </w:t>
            </w:r>
            <w:r w:rsidRPr="007825EF">
              <w:t xml:space="preserve">school districts </w:t>
            </w:r>
            <w:r>
              <w:t xml:space="preserve">and </w:t>
            </w:r>
            <w:r>
              <w:t>local law enforcement</w:t>
            </w:r>
            <w:r w:rsidRPr="007825EF">
              <w:t>.</w:t>
            </w:r>
          </w:p>
          <w:p w:rsidR="008423E4" w:rsidRPr="00E26B13" w:rsidRDefault="00C03BFF" w:rsidP="00CA0C82">
            <w:pPr>
              <w:rPr>
                <w:b/>
              </w:rPr>
            </w:pPr>
          </w:p>
        </w:tc>
      </w:tr>
      <w:tr w:rsidR="00962852" w:rsidTr="00345119">
        <w:tc>
          <w:tcPr>
            <w:tcW w:w="9576" w:type="dxa"/>
          </w:tcPr>
          <w:p w:rsidR="0017725B" w:rsidRDefault="00C03BFF" w:rsidP="00CA0C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3BFF" w:rsidP="00CA0C82">
            <w:pPr>
              <w:rPr>
                <w:b/>
                <w:u w:val="single"/>
              </w:rPr>
            </w:pPr>
          </w:p>
          <w:p w:rsidR="00ED3518" w:rsidRPr="00ED3518" w:rsidRDefault="00C03BFF" w:rsidP="00CA0C82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C03BFF" w:rsidP="00CA0C82">
            <w:pPr>
              <w:rPr>
                <w:b/>
                <w:u w:val="single"/>
              </w:rPr>
            </w:pPr>
          </w:p>
        </w:tc>
      </w:tr>
      <w:tr w:rsidR="00962852" w:rsidTr="00345119">
        <w:tc>
          <w:tcPr>
            <w:tcW w:w="9576" w:type="dxa"/>
          </w:tcPr>
          <w:p w:rsidR="008423E4" w:rsidRPr="00A8133F" w:rsidRDefault="00C03BFF" w:rsidP="00CA0C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3BFF" w:rsidP="00CA0C82"/>
          <w:p w:rsidR="00AB2F93" w:rsidRDefault="00C03BFF" w:rsidP="00CA0C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366850">
              <w:t xml:space="preserve">Department of Public Safety </w:t>
            </w:r>
            <w:r>
              <w:t xml:space="preserve">in SECTION 1 of this bill and </w:t>
            </w:r>
            <w:r>
              <w:t xml:space="preserve">to </w:t>
            </w:r>
            <w:r>
              <w:t xml:space="preserve">the commissioner of education </w:t>
            </w:r>
            <w:r>
              <w:t>in SECTION 3</w:t>
            </w:r>
            <w:r w:rsidRPr="00366850">
              <w:t xml:space="preserve"> </w:t>
            </w:r>
            <w:r w:rsidRPr="00366850">
              <w:t>of this bill.</w:t>
            </w:r>
          </w:p>
          <w:p w:rsidR="008423E4" w:rsidRPr="00E21FDC" w:rsidRDefault="00C03BFF" w:rsidP="00CA0C82">
            <w:pPr>
              <w:rPr>
                <w:b/>
              </w:rPr>
            </w:pPr>
          </w:p>
        </w:tc>
      </w:tr>
      <w:tr w:rsidR="00962852" w:rsidTr="00345119">
        <w:tc>
          <w:tcPr>
            <w:tcW w:w="9576" w:type="dxa"/>
          </w:tcPr>
          <w:p w:rsidR="008423E4" w:rsidRPr="00A8133F" w:rsidRDefault="00C03BFF" w:rsidP="00CA0C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3BFF" w:rsidP="00CA0C82"/>
          <w:p w:rsidR="00B35BB3" w:rsidRDefault="00C03BFF" w:rsidP="00CA0C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3290 amends the Education Code to </w:t>
            </w:r>
            <w:r>
              <w:t>require each public school district</w:t>
            </w:r>
            <w:r>
              <w:t xml:space="preserve"> </w:t>
            </w:r>
            <w:r>
              <w:t>to</w:t>
            </w:r>
            <w:r>
              <w:t xml:space="preserve"> adopt</w:t>
            </w:r>
            <w:r>
              <w:t xml:space="preserve"> a special threat response policy</w:t>
            </w:r>
            <w:r>
              <w:t xml:space="preserve"> for responding to a special threat on each district campus</w:t>
            </w:r>
            <w:r>
              <w:t xml:space="preserve">. The bill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the policy</w:t>
            </w:r>
            <w:r>
              <w:t xml:space="preserve"> to</w:t>
            </w:r>
            <w:r>
              <w:t>:</w:t>
            </w:r>
            <w:r>
              <w:t xml:space="preserve"> </w:t>
            </w:r>
          </w:p>
          <w:p w:rsidR="00765B01" w:rsidRDefault="00C03BFF" w:rsidP="00CA0C8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be created in coordination with each local law enforcement agency and other first responders with jurisdiction in the district;</w:t>
            </w:r>
          </w:p>
          <w:p w:rsidR="00B35BB3" w:rsidRDefault="00C03BFF" w:rsidP="00CA0C8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D3518">
              <w:t>us</w:t>
            </w:r>
            <w:r>
              <w:t>e</w:t>
            </w:r>
            <w:r w:rsidRPr="00ED3518">
              <w:t xml:space="preserve"> </w:t>
            </w:r>
            <w:r>
              <w:t>standard terminology</w:t>
            </w:r>
            <w:r w:rsidRPr="00ED3518">
              <w:t xml:space="preserve"> </w:t>
            </w:r>
            <w:r>
              <w:t>for</w:t>
            </w:r>
            <w:r w:rsidRPr="00ED3518">
              <w:t xml:space="preserve"> spec</w:t>
            </w:r>
            <w:r w:rsidRPr="00ED3518">
              <w:t xml:space="preserve">ial threat </w:t>
            </w:r>
            <w:r>
              <w:t xml:space="preserve">response established </w:t>
            </w:r>
            <w:r>
              <w:t>under the bill's provisions</w:t>
            </w:r>
            <w:r w:rsidRPr="00ED3518">
              <w:t>;</w:t>
            </w:r>
            <w:r>
              <w:t xml:space="preserve"> </w:t>
            </w:r>
          </w:p>
          <w:p w:rsidR="00FE1E4F" w:rsidRDefault="00C03BFF" w:rsidP="00CA0C8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at least once </w:t>
            </w:r>
            <w:r w:rsidRPr="00ED3518">
              <w:t xml:space="preserve">during </w:t>
            </w:r>
            <w:r>
              <w:t xml:space="preserve">each </w:t>
            </w:r>
            <w:r>
              <w:t xml:space="preserve">regular school year </w:t>
            </w:r>
            <w:r>
              <w:t xml:space="preserve">require </w:t>
            </w:r>
            <w:r>
              <w:t>a</w:t>
            </w:r>
            <w:r w:rsidRPr="00ED3518">
              <w:t xml:space="preserve"> special threat </w:t>
            </w:r>
            <w:r>
              <w:t xml:space="preserve">response </w:t>
            </w:r>
            <w:r w:rsidRPr="00ED3518">
              <w:t>drill</w:t>
            </w:r>
            <w:r>
              <w:t xml:space="preserve"> to be conducted at each district campus that includes</w:t>
            </w:r>
            <w:r w:rsidRPr="00ED3518">
              <w:t xml:space="preserve"> students, </w:t>
            </w:r>
            <w:r>
              <w:t>school personnel, substitute teachers, and e</w:t>
            </w:r>
            <w:r>
              <w:t>ach local law enforcement agency and first responders with jurisdiction in the district</w:t>
            </w:r>
            <w:r>
              <w:t>;</w:t>
            </w:r>
          </w:p>
          <w:p w:rsidR="00D1096C" w:rsidRDefault="00C03BFF" w:rsidP="00CA0C8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include copies of the campus special threat response protocols and policies adopted by each local law enforcement agency with jurisdiction in the district </w:t>
            </w:r>
            <w:r>
              <w:t xml:space="preserve">under the </w:t>
            </w:r>
            <w:r>
              <w:t>bill's provisions</w:t>
            </w:r>
            <w:r>
              <w:t>;</w:t>
            </w:r>
            <w:r>
              <w:t xml:space="preserve"> </w:t>
            </w:r>
          </w:p>
          <w:p w:rsidR="00B35BB3" w:rsidRDefault="00C03BFF" w:rsidP="00CA0C8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provide for the </w:t>
            </w:r>
            <w:r>
              <w:t>annual review and, if necessary, revis</w:t>
            </w:r>
            <w:r>
              <w:t>ion of</w:t>
            </w:r>
            <w:r>
              <w:t xml:space="preserve"> the policy; and </w:t>
            </w:r>
          </w:p>
          <w:p w:rsidR="00B35BB3" w:rsidRDefault="00C03BFF" w:rsidP="00CA0C8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be </w:t>
            </w:r>
            <w:r>
              <w:t>submit</w:t>
            </w:r>
            <w:r>
              <w:t xml:space="preserve">ted annually to </w:t>
            </w:r>
            <w:r>
              <w:t>the Texas Education Agency (TEA)</w:t>
            </w:r>
            <w:r>
              <w:t xml:space="preserve"> for </w:t>
            </w:r>
            <w:r>
              <w:t>certification</w:t>
            </w:r>
            <w:r>
              <w:t xml:space="preserve"> in accordance with </w:t>
            </w:r>
            <w:r>
              <w:t>TEA</w:t>
            </w:r>
            <w:r>
              <w:t xml:space="preserve"> rule</w:t>
            </w:r>
            <w:r>
              <w:t>, with initial submission by each district of the polic</w:t>
            </w:r>
            <w:r>
              <w:t>y not later than the first day of the 2020-2021 school year</w:t>
            </w:r>
            <w:r>
              <w:t>.</w:t>
            </w:r>
            <w:r>
              <w:t xml:space="preserve"> </w:t>
            </w:r>
          </w:p>
          <w:p w:rsidR="00B35BB3" w:rsidRDefault="00C03BFF" w:rsidP="00CA0C82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10042C" w:rsidRDefault="00C03BFF" w:rsidP="00CA0C82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C.S.H.B. 3290 requires each district to </w:t>
            </w:r>
            <w:r>
              <w:t xml:space="preserve">annually </w:t>
            </w:r>
            <w:r>
              <w:t>provide copies of the district's special threat response policy to local hospitals, emergency medical services providers, fire departments, emer</w:t>
            </w:r>
            <w:r>
              <w:t>gency management agencies, and any other entities that may be involved in responding to a special threat at a district campus. The bill requires the co</w:t>
            </w:r>
            <w:r>
              <w:t>mmissioner of education</w:t>
            </w:r>
            <w:r>
              <w:t xml:space="preserve"> to adopt rules to implement </w:t>
            </w:r>
            <w:r>
              <w:t>provisions relating to the special threat response po</w:t>
            </w:r>
            <w:r>
              <w:t>licy</w:t>
            </w:r>
            <w:r>
              <w:t xml:space="preserve"> and to adopt rules establishing standard terminology for special threat response to be used by districts when developing or adopting rules, policies, or procedures for responding to a special threat at a district campus. The bill sets out requirements</w:t>
            </w:r>
            <w:r>
              <w:t xml:space="preserve"> for the standard terminology and</w:t>
            </w:r>
            <w:r>
              <w:t xml:space="preserve"> use of the terminology by a district. The bill requires a district to include in the district's multihazard emergency operations plan a copy of the district's special threat response policy and, if appropriate, to use the </w:t>
            </w:r>
            <w:r>
              <w:t>standard terminology for special threat response in the multihazard emergency operations plan.</w:t>
            </w:r>
          </w:p>
          <w:p w:rsidR="00AA27EC" w:rsidRDefault="00C03BFF" w:rsidP="00CA0C82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9F7D1C" w:rsidRDefault="00C03BFF" w:rsidP="00CA0C82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C.S.H.B. 3290 amends the Code of Criminal Procedure to require each law enforcement agency in Texas with jurisdiction in a </w:t>
            </w:r>
            <w:r>
              <w:t xml:space="preserve">school </w:t>
            </w:r>
            <w:r>
              <w:t>district, in collaboration wit</w:t>
            </w:r>
            <w:r>
              <w:t>h the district and all other local law enforcement agencies with jurisdiction in the district, to establish protocols for responding to a special threat on a district campus</w:t>
            </w:r>
            <w:r>
              <w:t>. The bill requires the protocols</w:t>
            </w:r>
            <w:r>
              <w:t xml:space="preserve"> </w:t>
            </w:r>
            <w:r>
              <w:t>to</w:t>
            </w:r>
            <w:r>
              <w:t xml:space="preserve"> take into consideration the district's special</w:t>
            </w:r>
            <w:r>
              <w:t xml:space="preserve"> threat response policy</w:t>
            </w:r>
            <w:r>
              <w:t xml:space="preserve"> adopted under the bill's provisions, to include certain provisions for the first officer arriving at the scene, and to be </w:t>
            </w:r>
            <w:r>
              <w:t>consented to by</w:t>
            </w:r>
            <w:r>
              <w:t xml:space="preserve"> the district and</w:t>
            </w:r>
            <w:r>
              <w:t xml:space="preserve"> each</w:t>
            </w:r>
            <w:r>
              <w:t xml:space="preserve"> local law enforcement</w:t>
            </w:r>
            <w:r>
              <w:t xml:space="preserve"> agency </w:t>
            </w:r>
            <w:r>
              <w:t>with jurisdiction in the</w:t>
            </w:r>
            <w:r>
              <w:t xml:space="preserve"> </w:t>
            </w:r>
            <w:r>
              <w:t>district</w:t>
            </w:r>
            <w:r>
              <w:t>. The bill</w:t>
            </w:r>
            <w:r>
              <w:t xml:space="preserve"> </w:t>
            </w:r>
            <w:r>
              <w:t>prohibits</w:t>
            </w:r>
            <w:r>
              <w:t xml:space="preserve"> a local law enforcement agency from</w:t>
            </w:r>
            <w:r>
              <w:t xml:space="preserve"> unreasonabl</w:t>
            </w:r>
            <w:r>
              <w:t>y</w:t>
            </w:r>
            <w:r>
              <w:t xml:space="preserve"> withholding </w:t>
            </w:r>
            <w:r>
              <w:t xml:space="preserve">such </w:t>
            </w:r>
            <w:r>
              <w:t>consent</w:t>
            </w:r>
            <w:r>
              <w:t xml:space="preserve">. </w:t>
            </w:r>
          </w:p>
          <w:p w:rsidR="009F7D1C" w:rsidRDefault="00C03BFF" w:rsidP="00CA0C82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B35BB3" w:rsidRDefault="00C03BFF" w:rsidP="00CA0C82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C.S.H.B. 3290 </w:t>
            </w:r>
            <w:r>
              <w:t xml:space="preserve">requires each </w:t>
            </w:r>
            <w:r>
              <w:t>local law enforcement</w:t>
            </w:r>
            <w:r w:rsidRPr="006D4B9D">
              <w:t xml:space="preserve"> agency </w:t>
            </w:r>
            <w:r>
              <w:t xml:space="preserve">in Texas with jurisdiction in </w:t>
            </w:r>
            <w:r w:rsidRPr="006D4B9D">
              <w:t xml:space="preserve">a district </w:t>
            </w:r>
            <w:r>
              <w:t>to</w:t>
            </w:r>
            <w:r w:rsidRPr="006D4B9D">
              <w:t xml:space="preserve"> adopt a </w:t>
            </w:r>
            <w:r>
              <w:t xml:space="preserve">campus special threat </w:t>
            </w:r>
            <w:r w:rsidRPr="006D4B9D">
              <w:t>response policy</w:t>
            </w:r>
            <w:r>
              <w:t xml:space="preserve"> for each district in which the agency has jurisdiction that</w:t>
            </w:r>
            <w:r w:rsidRPr="006D4B9D">
              <w:t xml:space="preserve"> incorporat</w:t>
            </w:r>
            <w:r>
              <w:t>es</w:t>
            </w:r>
            <w:r w:rsidRPr="006D4B9D">
              <w:t xml:space="preserve"> the </w:t>
            </w:r>
            <w:r>
              <w:t>protocols, takes into consideration the district's special threat response policy, and</w:t>
            </w:r>
            <w:r w:rsidRPr="006D4B9D">
              <w:t xml:space="preserve"> include</w:t>
            </w:r>
            <w:r>
              <w:t>s</w:t>
            </w:r>
            <w:r w:rsidRPr="006D4B9D">
              <w:t xml:space="preserve"> any additional information necessary for the </w:t>
            </w:r>
            <w:r>
              <w:t>agency</w:t>
            </w:r>
            <w:r w:rsidRPr="006D4B9D">
              <w:t xml:space="preserve"> to perform its duties </w:t>
            </w:r>
            <w:r>
              <w:t>in respo</w:t>
            </w:r>
            <w:r>
              <w:t>nse to a special threat on each district campus</w:t>
            </w:r>
            <w:r>
              <w:t xml:space="preserve">. </w:t>
            </w:r>
            <w:r>
              <w:t xml:space="preserve">The bill requires </w:t>
            </w:r>
            <w:r>
              <w:t>a law enforcement agency with jurisdiction in a district</w:t>
            </w:r>
            <w:r>
              <w:t>, not later than</w:t>
            </w:r>
            <w:r>
              <w:t xml:space="preserve"> July</w:t>
            </w:r>
            <w:r>
              <w:t xml:space="preserve"> 1</w:t>
            </w:r>
            <w:r>
              <w:t>, 2020</w:t>
            </w:r>
            <w:r>
              <w:t>, to submit the</w:t>
            </w:r>
            <w:r>
              <w:t xml:space="preserve"> agency's </w:t>
            </w:r>
            <w:r>
              <w:t xml:space="preserve">initial </w:t>
            </w:r>
            <w:r>
              <w:t>campus special threat response protocols and policy to the Department o</w:t>
            </w:r>
            <w:r>
              <w:t>f Public Safety</w:t>
            </w:r>
            <w:r>
              <w:t xml:space="preserve"> (DPS)</w:t>
            </w:r>
            <w:r>
              <w:t xml:space="preserve"> and to submit subsequent protocols and policy not later than July 1 of each year</w:t>
            </w:r>
            <w:r>
              <w:t xml:space="preserve">. The bill requires </w:t>
            </w:r>
            <w:r>
              <w:t>DPS</w:t>
            </w:r>
            <w:r>
              <w:t xml:space="preserve"> to </w:t>
            </w:r>
            <w:r>
              <w:t xml:space="preserve">adopt rules and procedures </w:t>
            </w:r>
            <w:r>
              <w:t>to</w:t>
            </w:r>
            <w:r>
              <w:t xml:space="preserve"> annual</w:t>
            </w:r>
            <w:r>
              <w:t>ly</w:t>
            </w:r>
            <w:r>
              <w:t xml:space="preserve"> </w:t>
            </w:r>
            <w:r>
              <w:t xml:space="preserve">certify </w:t>
            </w:r>
            <w:r>
              <w:t xml:space="preserve">a </w:t>
            </w:r>
            <w:r>
              <w:t>local law enforcement</w:t>
            </w:r>
            <w:r>
              <w:t xml:space="preserve"> agency's</w:t>
            </w:r>
            <w:r>
              <w:t xml:space="preserve"> compliance with these provisions</w:t>
            </w:r>
            <w:r>
              <w:t>.</w:t>
            </w:r>
            <w:r>
              <w:t xml:space="preserve"> </w:t>
            </w:r>
          </w:p>
          <w:p w:rsidR="008423E4" w:rsidRPr="00835628" w:rsidRDefault="00C03BFF" w:rsidP="00CA0C82">
            <w:pPr>
              <w:rPr>
                <w:b/>
              </w:rPr>
            </w:pPr>
          </w:p>
        </w:tc>
      </w:tr>
      <w:tr w:rsidR="00962852" w:rsidTr="00345119">
        <w:tc>
          <w:tcPr>
            <w:tcW w:w="9576" w:type="dxa"/>
          </w:tcPr>
          <w:p w:rsidR="008423E4" w:rsidRPr="00A8133F" w:rsidRDefault="00C03BFF" w:rsidP="00CA0C82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C03BFF" w:rsidP="00CA0C82"/>
          <w:p w:rsidR="008423E4" w:rsidRPr="003624F2" w:rsidRDefault="00C03BFF" w:rsidP="00CA0C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03BFF" w:rsidP="00CA0C82">
            <w:pPr>
              <w:rPr>
                <w:b/>
              </w:rPr>
            </w:pPr>
          </w:p>
        </w:tc>
      </w:tr>
      <w:tr w:rsidR="00962852" w:rsidTr="00345119">
        <w:tc>
          <w:tcPr>
            <w:tcW w:w="9576" w:type="dxa"/>
          </w:tcPr>
          <w:p w:rsidR="004C1356" w:rsidRDefault="00C03BFF" w:rsidP="00CA0C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539E6" w:rsidRDefault="00C03BFF" w:rsidP="00CA0C82">
            <w:pPr>
              <w:jc w:val="both"/>
            </w:pPr>
          </w:p>
          <w:p w:rsidR="009539E6" w:rsidRDefault="00C03BFF" w:rsidP="00CA0C82">
            <w:pPr>
              <w:jc w:val="both"/>
            </w:pPr>
            <w:r>
              <w:t>While C.S.H.B. 3290 may differ from the original in minor or nonsubstantive ways, the following summarizes the substantial d</w:t>
            </w:r>
            <w:r>
              <w:t>ifferences between the introduced and committee substitute versions of the bill.</w:t>
            </w:r>
          </w:p>
          <w:p w:rsidR="00DF06AB" w:rsidRDefault="00C03BFF" w:rsidP="00CA0C82">
            <w:pPr>
              <w:jc w:val="both"/>
            </w:pPr>
          </w:p>
          <w:p w:rsidR="00DF06AB" w:rsidRDefault="00C03BFF" w:rsidP="00CA0C82">
            <w:pPr>
              <w:jc w:val="both"/>
            </w:pPr>
            <w:r>
              <w:t>The substitute changes provisions relating to:</w:t>
            </w:r>
          </w:p>
          <w:p w:rsidR="00DF06AB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entities with whom each school district is required to coordinate in adopting a special threat response policy</w:t>
            </w:r>
            <w:r>
              <w:t>;</w:t>
            </w:r>
          </w:p>
          <w:p w:rsidR="00DF06AB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standard terminology used in a special threat response policy;</w:t>
            </w:r>
          </w:p>
          <w:p w:rsidR="00DF06AB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participants in the special threat response drill;</w:t>
            </w:r>
          </w:p>
          <w:p w:rsidR="00DF06AB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protocols</w:t>
            </w:r>
            <w:r>
              <w:t xml:space="preserve"> required to be included in a special threat response policy</w:t>
            </w:r>
            <w:r>
              <w:t>;</w:t>
            </w:r>
          </w:p>
          <w:p w:rsidR="003E441C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annual submission of a special threat response policy</w:t>
            </w:r>
            <w:r>
              <w:t>;</w:t>
            </w:r>
            <w:r>
              <w:t xml:space="preserve"> </w:t>
            </w:r>
          </w:p>
          <w:p w:rsidR="00AA28F0" w:rsidRPr="00DF59DB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DF59DB">
              <w:t>the</w:t>
            </w:r>
            <w:r>
              <w:t xml:space="preserve"> adoption of rules by the commissioner </w:t>
            </w:r>
            <w:r>
              <w:t xml:space="preserve">of education </w:t>
            </w:r>
            <w:r>
              <w:t>to implement the special threat response policy</w:t>
            </w:r>
            <w:r w:rsidRPr="00DF59DB">
              <w:t>;</w:t>
            </w:r>
            <w:r>
              <w:t xml:space="preserve"> and</w:t>
            </w:r>
          </w:p>
          <w:p w:rsidR="00B05449" w:rsidRDefault="00C03BFF" w:rsidP="00CA0C8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</w:t>
            </w:r>
            <w:r>
              <w:t>inclusion of a district's special threat response policy and, if appropriate, use of the standard terminology in the district's multihazard eme</w:t>
            </w:r>
            <w:r>
              <w:t>rgency operations plan</w:t>
            </w:r>
            <w:r>
              <w:t>.</w:t>
            </w:r>
          </w:p>
          <w:p w:rsidR="00DF06AB" w:rsidRDefault="00C03BFF" w:rsidP="00CA0C82">
            <w:pPr>
              <w:spacing w:before="120" w:after="120"/>
              <w:jc w:val="both"/>
            </w:pPr>
          </w:p>
          <w:p w:rsidR="00DF06AB" w:rsidRDefault="00C03BFF" w:rsidP="00CA0C82">
            <w:pPr>
              <w:spacing w:before="120" w:after="120"/>
              <w:jc w:val="both"/>
            </w:pPr>
            <w:r>
              <w:t>The substitute includes provisions relating to:</w:t>
            </w:r>
          </w:p>
          <w:p w:rsidR="00DF06AB" w:rsidRDefault="00C03BFF" w:rsidP="00CA0C8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deadline for initial submission of a special threat response policy by each district</w:t>
            </w:r>
            <w:r>
              <w:t>;</w:t>
            </w:r>
          </w:p>
          <w:p w:rsidR="00251F7A" w:rsidRDefault="00C03BFF" w:rsidP="00CA0C8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requirement for each district to provide copies of the special threat response policy to cert</w:t>
            </w:r>
            <w:r>
              <w:t>ain entities that may be involved in responding to a special threat;</w:t>
            </w:r>
          </w:p>
          <w:p w:rsidR="00CA57BF" w:rsidRDefault="00C03BFF" w:rsidP="00CA0C8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the adoption of rules by the commissioner establishing standard terminology for special threat response;</w:t>
            </w:r>
          </w:p>
          <w:p w:rsidR="00CA57BF" w:rsidRDefault="00C03BFF" w:rsidP="00CA0C8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requirements for</w:t>
            </w:r>
            <w:r>
              <w:t xml:space="preserve"> the standard terminology and its use;</w:t>
            </w:r>
          </w:p>
          <w:p w:rsidR="00AA28F0" w:rsidRDefault="00C03BFF" w:rsidP="00CA0C8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the adoption of protocols a</w:t>
            </w:r>
            <w:r>
              <w:t>nd policies by each law enforcement agency in Texas with jurisdiction in a school district</w:t>
            </w:r>
            <w:r>
              <w:t>; and</w:t>
            </w:r>
          </w:p>
          <w:p w:rsidR="00DF59DB" w:rsidRDefault="00C03BFF" w:rsidP="00CA0C8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the adoption of rules and procedures by</w:t>
            </w:r>
            <w:r>
              <w:t xml:space="preserve"> </w:t>
            </w:r>
            <w:r>
              <w:t>DPS</w:t>
            </w:r>
            <w:r>
              <w:t>.</w:t>
            </w:r>
          </w:p>
          <w:p w:rsidR="00B05449" w:rsidRDefault="00C03BFF" w:rsidP="00CA0C82">
            <w:pPr>
              <w:spacing w:after="100" w:afterAutospacing="1"/>
              <w:contextualSpacing/>
              <w:jc w:val="both"/>
            </w:pPr>
          </w:p>
          <w:p w:rsidR="009539E6" w:rsidRPr="009539E6" w:rsidRDefault="00C03BFF" w:rsidP="00CA0C82">
            <w:pPr>
              <w:spacing w:after="100" w:afterAutospacing="1"/>
              <w:contextualSpacing/>
              <w:jc w:val="both"/>
            </w:pPr>
            <w:r>
              <w:t>The substitute does not</w:t>
            </w:r>
            <w:r>
              <w:t xml:space="preserve"> include provisions relating to the adoption of a response policy by each emergency service</w:t>
            </w:r>
            <w:r>
              <w:t>s a</w:t>
            </w:r>
            <w:r>
              <w:t>gency serving a school district or the adoption of rules and procedures by the director of public safety.</w:t>
            </w:r>
          </w:p>
        </w:tc>
      </w:tr>
    </w:tbl>
    <w:p w:rsidR="008423E4" w:rsidRPr="00BE0E75" w:rsidRDefault="00C03B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3BF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3BFF">
      <w:r>
        <w:separator/>
      </w:r>
    </w:p>
  </w:endnote>
  <w:endnote w:type="continuationSeparator" w:id="0">
    <w:p w:rsidR="00000000" w:rsidRDefault="00C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D4" w:rsidRDefault="00C03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2852" w:rsidTr="009C1E9A">
      <w:trPr>
        <w:cantSplit/>
      </w:trPr>
      <w:tc>
        <w:tcPr>
          <w:tcW w:w="0" w:type="pct"/>
        </w:tcPr>
        <w:p w:rsidR="00137D90" w:rsidRDefault="00C03B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3B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3B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3B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3B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2852" w:rsidTr="009C1E9A">
      <w:trPr>
        <w:cantSplit/>
      </w:trPr>
      <w:tc>
        <w:tcPr>
          <w:tcW w:w="0" w:type="pct"/>
        </w:tcPr>
        <w:p w:rsidR="00EC379B" w:rsidRDefault="00C03B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3B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28613</w:t>
          </w:r>
        </w:p>
      </w:tc>
      <w:tc>
        <w:tcPr>
          <w:tcW w:w="2453" w:type="pct"/>
        </w:tcPr>
        <w:p w:rsidR="00EC379B" w:rsidRDefault="00C03B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19.112.990</w:t>
          </w:r>
          <w:r>
            <w:fldChar w:fldCharType="end"/>
          </w:r>
        </w:p>
      </w:tc>
    </w:tr>
    <w:tr w:rsidR="00962852" w:rsidTr="009C1E9A">
      <w:trPr>
        <w:cantSplit/>
      </w:trPr>
      <w:tc>
        <w:tcPr>
          <w:tcW w:w="0" w:type="pct"/>
        </w:tcPr>
        <w:p w:rsidR="00EC379B" w:rsidRDefault="00C03B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3B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20095</w:t>
          </w:r>
        </w:p>
      </w:tc>
      <w:tc>
        <w:tcPr>
          <w:tcW w:w="2453" w:type="pct"/>
        </w:tcPr>
        <w:p w:rsidR="00EC379B" w:rsidRDefault="00C03BFF" w:rsidP="006D504F">
          <w:pPr>
            <w:pStyle w:val="Footer"/>
            <w:rPr>
              <w:rStyle w:val="PageNumber"/>
            </w:rPr>
          </w:pPr>
        </w:p>
        <w:p w:rsidR="00EC379B" w:rsidRDefault="00C03B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28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3B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C03B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3B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D4" w:rsidRDefault="00C0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3BFF">
      <w:r>
        <w:separator/>
      </w:r>
    </w:p>
  </w:footnote>
  <w:footnote w:type="continuationSeparator" w:id="0">
    <w:p w:rsidR="00000000" w:rsidRDefault="00C0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D4" w:rsidRDefault="00C03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D4" w:rsidRDefault="00C03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D4" w:rsidRDefault="00C03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ABD"/>
    <w:multiLevelType w:val="hybridMultilevel"/>
    <w:tmpl w:val="6A2C9C66"/>
    <w:lvl w:ilvl="0" w:tplc="05EEE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6A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1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8E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6B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4D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23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7E24"/>
    <w:multiLevelType w:val="hybridMultilevel"/>
    <w:tmpl w:val="E2CA18F2"/>
    <w:lvl w:ilvl="0" w:tplc="0FE06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89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E6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46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A4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66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29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E5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EE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0E5B"/>
    <w:multiLevelType w:val="hybridMultilevel"/>
    <w:tmpl w:val="D5FEFFA6"/>
    <w:lvl w:ilvl="0" w:tplc="72E6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CA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67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0D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C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6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89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AE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05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5622"/>
    <w:multiLevelType w:val="hybridMultilevel"/>
    <w:tmpl w:val="2528DF90"/>
    <w:lvl w:ilvl="0" w:tplc="E58A8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B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E3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B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F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8D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9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CA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61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52"/>
    <w:rsid w:val="00962852"/>
    <w:rsid w:val="00C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E6A008-96C3-414E-9DFA-8BA68EC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3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3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5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3518"/>
    <w:rPr>
      <w:b/>
      <w:bCs/>
    </w:rPr>
  </w:style>
  <w:style w:type="character" w:styleId="Hyperlink">
    <w:name w:val="Hyperlink"/>
    <w:basedOn w:val="DefaultParagraphFont"/>
    <w:unhideWhenUsed/>
    <w:rsid w:val="00D109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27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5830</Characters>
  <Application>Microsoft Office Word</Application>
  <DocSecurity>4</DocSecurity>
  <Lines>122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HB03290 (Committee Report (Substituted))</vt:lpstr>
    </vt:vector>
  </TitlesOfParts>
  <Company>State of Texas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28613</dc:subject>
  <dc:creator>State of Texas</dc:creator>
  <dc:description>HB 3290 by Toth-(H)Public Education (Substitute Document Number: 86R 20095)</dc:description>
  <cp:lastModifiedBy>Stacey Nicchio</cp:lastModifiedBy>
  <cp:revision>2</cp:revision>
  <cp:lastPrinted>2019-04-18T21:44:00Z</cp:lastPrinted>
  <dcterms:created xsi:type="dcterms:W3CDTF">2019-04-26T20:28:00Z</dcterms:created>
  <dcterms:modified xsi:type="dcterms:W3CDTF">2019-04-26T20:28:00Z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19.112.990</vt:lpwstr>
  </property>
</Properties>
</file>