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33C88" w:rsidTr="00345119">
        <w:tc>
          <w:tcPr>
            <w:tcW w:w="9576" w:type="dxa"/>
            <w:noWrap/>
          </w:tcPr>
          <w:p w:rsidR="008423E4" w:rsidRPr="0022177D" w:rsidRDefault="001B24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B24D0" w:rsidP="008423E4">
      <w:pPr>
        <w:jc w:val="center"/>
      </w:pPr>
    </w:p>
    <w:p w:rsidR="008423E4" w:rsidRPr="00B31F0E" w:rsidRDefault="001B24D0" w:rsidP="008423E4"/>
    <w:p w:rsidR="008423E4" w:rsidRPr="00742794" w:rsidRDefault="001B24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3C88" w:rsidTr="00345119">
        <w:tc>
          <w:tcPr>
            <w:tcW w:w="9576" w:type="dxa"/>
          </w:tcPr>
          <w:p w:rsidR="008423E4" w:rsidRPr="00861995" w:rsidRDefault="001B24D0" w:rsidP="00345119">
            <w:pPr>
              <w:jc w:val="right"/>
            </w:pPr>
            <w:r>
              <w:t>C.S.H.B. 3292</w:t>
            </w:r>
          </w:p>
        </w:tc>
      </w:tr>
      <w:tr w:rsidR="00733C88" w:rsidTr="00345119">
        <w:tc>
          <w:tcPr>
            <w:tcW w:w="9576" w:type="dxa"/>
          </w:tcPr>
          <w:p w:rsidR="008423E4" w:rsidRPr="00861995" w:rsidRDefault="001B24D0" w:rsidP="000642D9">
            <w:pPr>
              <w:jc w:val="right"/>
            </w:pPr>
            <w:r>
              <w:t xml:space="preserve">By: </w:t>
            </w:r>
            <w:r>
              <w:t>Gutierrez</w:t>
            </w:r>
          </w:p>
        </w:tc>
      </w:tr>
      <w:tr w:rsidR="00733C88" w:rsidTr="00345119">
        <w:tc>
          <w:tcPr>
            <w:tcW w:w="9576" w:type="dxa"/>
          </w:tcPr>
          <w:p w:rsidR="008423E4" w:rsidRPr="00861995" w:rsidRDefault="001B24D0" w:rsidP="00345119">
            <w:pPr>
              <w:jc w:val="right"/>
            </w:pPr>
            <w:r>
              <w:t>Pensions, Investments &amp; Financial Services</w:t>
            </w:r>
          </w:p>
        </w:tc>
      </w:tr>
      <w:tr w:rsidR="00733C88" w:rsidTr="00345119">
        <w:tc>
          <w:tcPr>
            <w:tcW w:w="9576" w:type="dxa"/>
          </w:tcPr>
          <w:p w:rsidR="008423E4" w:rsidRDefault="001B24D0" w:rsidP="00646B7B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B24D0" w:rsidP="008423E4">
      <w:pPr>
        <w:tabs>
          <w:tab w:val="right" w:pos="9360"/>
        </w:tabs>
      </w:pPr>
    </w:p>
    <w:p w:rsidR="008423E4" w:rsidRDefault="001B24D0" w:rsidP="008423E4"/>
    <w:p w:rsidR="008423E4" w:rsidRDefault="001B24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33C88" w:rsidTr="00345119">
        <w:tc>
          <w:tcPr>
            <w:tcW w:w="9576" w:type="dxa"/>
          </w:tcPr>
          <w:p w:rsidR="008423E4" w:rsidRPr="00A8133F" w:rsidRDefault="001B24D0" w:rsidP="00EE78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B24D0" w:rsidP="00EE78DC"/>
          <w:p w:rsidR="008423E4" w:rsidRDefault="001B24D0" w:rsidP="00EE78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A1C2E">
              <w:t xml:space="preserve">It has been suggested that </w:t>
            </w:r>
            <w:r>
              <w:t xml:space="preserve">certain statutory provisions </w:t>
            </w:r>
            <w:r w:rsidRPr="009A1C2E">
              <w:t>governing loans and financed transactions</w:t>
            </w:r>
            <w:r>
              <w:t xml:space="preserve"> regarding sale-leaseback transactions are inconsistent. </w:t>
            </w:r>
            <w:r>
              <w:t>C.S.</w:t>
            </w:r>
            <w:r w:rsidRPr="002D0233">
              <w:t>H</w:t>
            </w:r>
            <w:r>
              <w:t>.</w:t>
            </w:r>
            <w:r w:rsidRPr="002D0233">
              <w:t>B</w:t>
            </w:r>
            <w:r>
              <w:t>.</w:t>
            </w:r>
            <w:r w:rsidRPr="002D0233">
              <w:t xml:space="preserve"> 3292 </w:t>
            </w:r>
            <w:r>
              <w:t>seeks to address this</w:t>
            </w:r>
            <w:r w:rsidRPr="002D0233">
              <w:t xml:space="preserve"> inconsistency by </w:t>
            </w:r>
            <w:r w:rsidRPr="009A1C2E">
              <w:t>remov</w:t>
            </w:r>
            <w:r>
              <w:t>ing</w:t>
            </w:r>
            <w:r w:rsidRPr="009A1C2E">
              <w:t xml:space="preserve"> </w:t>
            </w:r>
            <w:r>
              <w:t>certain</w:t>
            </w:r>
            <w:r w:rsidRPr="009A1C2E">
              <w:t xml:space="preserve"> </w:t>
            </w:r>
            <w:r w:rsidRPr="009A1C2E">
              <w:t>sale-leaseback transaction</w:t>
            </w:r>
            <w:r>
              <w:t>s</w:t>
            </w:r>
            <w:r w:rsidRPr="009A1C2E">
              <w:t xml:space="preserve"> from the transactions considered a loan for </w:t>
            </w:r>
            <w:r>
              <w:t xml:space="preserve">those </w:t>
            </w:r>
            <w:r w:rsidRPr="009A1C2E">
              <w:t>purposes</w:t>
            </w:r>
            <w:r>
              <w:t>.</w:t>
            </w:r>
            <w:r w:rsidRPr="002D0233">
              <w:t xml:space="preserve"> </w:t>
            </w:r>
          </w:p>
          <w:p w:rsidR="008423E4" w:rsidRPr="00E26B13" w:rsidRDefault="001B24D0" w:rsidP="00EE78DC">
            <w:pPr>
              <w:rPr>
                <w:b/>
              </w:rPr>
            </w:pPr>
          </w:p>
        </w:tc>
      </w:tr>
      <w:tr w:rsidR="00733C88" w:rsidTr="00345119">
        <w:tc>
          <w:tcPr>
            <w:tcW w:w="9576" w:type="dxa"/>
          </w:tcPr>
          <w:p w:rsidR="0017725B" w:rsidRDefault="001B24D0" w:rsidP="00EE78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B24D0" w:rsidP="00EE78DC">
            <w:pPr>
              <w:rPr>
                <w:b/>
                <w:u w:val="single"/>
              </w:rPr>
            </w:pPr>
          </w:p>
          <w:p w:rsidR="007F18D2" w:rsidRPr="007F18D2" w:rsidRDefault="001B24D0" w:rsidP="00EE78DC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1B24D0" w:rsidP="00EE78DC">
            <w:pPr>
              <w:rPr>
                <w:b/>
                <w:u w:val="single"/>
              </w:rPr>
            </w:pPr>
          </w:p>
        </w:tc>
      </w:tr>
      <w:tr w:rsidR="00733C88" w:rsidTr="00345119">
        <w:tc>
          <w:tcPr>
            <w:tcW w:w="9576" w:type="dxa"/>
          </w:tcPr>
          <w:p w:rsidR="008423E4" w:rsidRPr="00A8133F" w:rsidRDefault="001B24D0" w:rsidP="00EE78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B24D0" w:rsidP="00EE78DC"/>
          <w:p w:rsidR="007F18D2" w:rsidRDefault="001B24D0" w:rsidP="00EE78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B24D0" w:rsidP="00EE78DC">
            <w:pPr>
              <w:rPr>
                <w:b/>
              </w:rPr>
            </w:pPr>
          </w:p>
        </w:tc>
      </w:tr>
      <w:tr w:rsidR="00733C88" w:rsidTr="00345119">
        <w:tc>
          <w:tcPr>
            <w:tcW w:w="9576" w:type="dxa"/>
          </w:tcPr>
          <w:p w:rsidR="008423E4" w:rsidRPr="00A8133F" w:rsidRDefault="001B24D0" w:rsidP="00EE78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B24D0" w:rsidP="00EE78DC"/>
          <w:p w:rsidR="00C676FC" w:rsidRDefault="001B24D0" w:rsidP="00EE78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3292 amends the Finance Code to</w:t>
            </w:r>
            <w:r>
              <w:t xml:space="preserve"> revise the definition of "loan</w:t>
            </w:r>
            <w:r>
              <w:t>,</w:t>
            </w:r>
            <w:r>
              <w:t>"</w:t>
            </w:r>
            <w:r>
              <w:t xml:space="preserve"> </w:t>
            </w:r>
            <w:r>
              <w:t xml:space="preserve">for purposes of statutory provisions </w:t>
            </w:r>
            <w:r>
              <w:t>governing</w:t>
            </w:r>
            <w:r>
              <w:t xml:space="preserve"> loans and financed transactions</w:t>
            </w:r>
            <w:r>
              <w:t>,</w:t>
            </w:r>
            <w:r>
              <w:t xml:space="preserve"> by specifying that a loan for those purposes includes </w:t>
            </w:r>
            <w:r>
              <w:t xml:space="preserve">a sale-leaseback transaction </w:t>
            </w:r>
            <w:r>
              <w:t xml:space="preserve">other than a sale-leaseback transaction </w:t>
            </w:r>
            <w:r>
              <w:t>that:</w:t>
            </w:r>
          </w:p>
          <w:p w:rsidR="00C676FC" w:rsidRDefault="001B24D0" w:rsidP="00EE78DC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may be termin</w:t>
            </w:r>
            <w:r>
              <w:t>ated at any time;</w:t>
            </w:r>
          </w:p>
          <w:p w:rsidR="00C676FC" w:rsidRDefault="001B24D0" w:rsidP="00EE78DC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complies with </w:t>
            </w:r>
            <w:r>
              <w:t xml:space="preserve">certain </w:t>
            </w:r>
            <w:r>
              <w:t xml:space="preserve">federal </w:t>
            </w:r>
            <w:r>
              <w:t>law regarding terms of consumer credit extended to members of the military and their dependents</w:t>
            </w:r>
            <w:r>
              <w:t xml:space="preserve"> and any regulations under that law</w:t>
            </w:r>
            <w:r>
              <w:t>, to the extent applicable;</w:t>
            </w:r>
          </w:p>
          <w:p w:rsidR="00C676FC" w:rsidRDefault="001B24D0" w:rsidP="00EE78DC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complies with </w:t>
            </w:r>
            <w:r>
              <w:t>certain</w:t>
            </w:r>
            <w:r>
              <w:t xml:space="preserve"> federal </w:t>
            </w:r>
            <w:r>
              <w:t xml:space="preserve">law </w:t>
            </w:r>
            <w:r>
              <w:t xml:space="preserve">with respect to </w:t>
            </w:r>
            <w:r>
              <w:t xml:space="preserve">consumer credit protection </w:t>
            </w:r>
            <w:r>
              <w:t>and any regulations adopted under that law, to the extent applicable; and</w:t>
            </w:r>
          </w:p>
          <w:p w:rsidR="00C676FC" w:rsidRDefault="001B24D0" w:rsidP="00484F8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>advises the consumer that complaints may be filed with the office of the attorney general or the Office of Consumer Credit Commissioner</w:t>
            </w:r>
            <w:r>
              <w:t>.</w:t>
            </w:r>
          </w:p>
          <w:p w:rsidR="00C676FC" w:rsidRDefault="001B24D0" w:rsidP="00EE78D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</w:p>
          <w:p w:rsidR="00F64DCE" w:rsidRDefault="001B24D0" w:rsidP="00EE78DC">
            <w:pPr>
              <w:pStyle w:val="Header"/>
              <w:spacing w:before="120" w:after="120"/>
              <w:jc w:val="both"/>
            </w:pPr>
            <w:r>
              <w:t xml:space="preserve">C.S.H.B. 3292 </w:t>
            </w:r>
            <w:r>
              <w:t>removes from the definition of "sale-leaseback transaction</w:t>
            </w:r>
            <w:r>
              <w:t>,</w:t>
            </w:r>
            <w:r>
              <w:t xml:space="preserve">" </w:t>
            </w:r>
            <w:r>
              <w:t xml:space="preserve">for purposes of statutory provisions governing loans and financed transactions, </w:t>
            </w:r>
            <w:r>
              <w:t>the specification</w:t>
            </w:r>
            <w:r>
              <w:t>s</w:t>
            </w:r>
            <w:r>
              <w:t xml:space="preserve"> that</w:t>
            </w:r>
            <w:r>
              <w:t xml:space="preserve"> in</w:t>
            </w:r>
            <w:r>
              <w:t xml:space="preserve"> a sale</w:t>
            </w:r>
            <w:r>
              <w:noBreakHyphen/>
            </w:r>
            <w:r>
              <w:t xml:space="preserve">leaseback transaction </w:t>
            </w:r>
            <w:r w:rsidRPr="008D60FC">
              <w:t>the buyer is a credit</w:t>
            </w:r>
            <w:r>
              <w:t>or and the seller is an obligor</w:t>
            </w:r>
            <w:r>
              <w:t xml:space="preserve">, </w:t>
            </w:r>
            <w:r w:rsidRPr="008D60FC">
              <w:t xml:space="preserve">an </w:t>
            </w:r>
            <w:r w:rsidRPr="008D60FC">
              <w:t>agreement to defer payment of a debt and an obligation to pay the debt are established</w:t>
            </w:r>
            <w:r>
              <w:t xml:space="preserve">, and </w:t>
            </w:r>
            <w:r w:rsidRPr="008D60FC">
              <w:t>any amount received by the buyer in excess of the price paid for the property by the b</w:t>
            </w:r>
            <w:r>
              <w:t xml:space="preserve">uyer is interest subject to </w:t>
            </w:r>
            <w:r>
              <w:t xml:space="preserve">those </w:t>
            </w:r>
            <w:r>
              <w:t>statutory provisions.</w:t>
            </w:r>
          </w:p>
          <w:p w:rsidR="008423E4" w:rsidRPr="00835628" w:rsidRDefault="001B24D0" w:rsidP="00484F80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 </w:t>
            </w:r>
          </w:p>
        </w:tc>
      </w:tr>
      <w:tr w:rsidR="00733C88" w:rsidTr="00345119">
        <w:tc>
          <w:tcPr>
            <w:tcW w:w="9576" w:type="dxa"/>
          </w:tcPr>
          <w:p w:rsidR="008423E4" w:rsidRPr="00A8133F" w:rsidRDefault="001B24D0" w:rsidP="00EE78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B24D0" w:rsidP="00EE78DC"/>
          <w:p w:rsidR="008423E4" w:rsidRPr="003624F2" w:rsidRDefault="001B24D0" w:rsidP="00EE78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</w:t>
            </w:r>
            <w:r>
              <w:t>ptember 1, 2019.</w:t>
            </w:r>
          </w:p>
          <w:p w:rsidR="008423E4" w:rsidRPr="00233FDB" w:rsidRDefault="001B24D0" w:rsidP="00EE78DC">
            <w:pPr>
              <w:rPr>
                <w:b/>
              </w:rPr>
            </w:pPr>
          </w:p>
        </w:tc>
      </w:tr>
      <w:tr w:rsidR="00733C88" w:rsidTr="00345119">
        <w:tc>
          <w:tcPr>
            <w:tcW w:w="9576" w:type="dxa"/>
          </w:tcPr>
          <w:p w:rsidR="000642D9" w:rsidRDefault="001B24D0" w:rsidP="00EE78D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D60FC" w:rsidRDefault="001B24D0" w:rsidP="00EE78DC">
            <w:pPr>
              <w:jc w:val="both"/>
            </w:pPr>
          </w:p>
          <w:p w:rsidR="008D60FC" w:rsidRDefault="001B24D0" w:rsidP="00EE78DC">
            <w:pPr>
              <w:jc w:val="both"/>
            </w:pPr>
            <w:r>
              <w:t>While C.S.H.B. 3292 may differ from the original in minor or nonsubstantive ways, the following summarizes the substantial differences between the introduced and committee substitute versions of the</w:t>
            </w:r>
            <w:r>
              <w:t xml:space="preserve"> bill.</w:t>
            </w:r>
          </w:p>
          <w:p w:rsidR="008D60FC" w:rsidRDefault="001B24D0" w:rsidP="00EE78DC">
            <w:pPr>
              <w:jc w:val="both"/>
            </w:pPr>
          </w:p>
          <w:p w:rsidR="008D60FC" w:rsidRDefault="001B24D0" w:rsidP="00EE78DC">
            <w:pPr>
              <w:jc w:val="both"/>
            </w:pPr>
            <w:r>
              <w:t xml:space="preserve">The substitute does not include </w:t>
            </w:r>
            <w:r>
              <w:t xml:space="preserve">a </w:t>
            </w:r>
            <w:r>
              <w:t>provision removing a sale-leaseback transaction from tran</w:t>
            </w:r>
            <w:r>
              <w:t>sactions considered a loan</w:t>
            </w:r>
            <w:r>
              <w:t xml:space="preserve"> but </w:t>
            </w:r>
            <w:r>
              <w:t>include</w:t>
            </w:r>
            <w:r>
              <w:t>s</w:t>
            </w:r>
            <w:r>
              <w:t xml:space="preserve"> a provision specifying that a sale-leaseback transaction that meets certain conditions </w:t>
            </w:r>
            <w:r>
              <w:t xml:space="preserve">is </w:t>
            </w:r>
            <w:r>
              <w:t xml:space="preserve">not considered a loan. </w:t>
            </w:r>
          </w:p>
          <w:p w:rsidR="00D41425" w:rsidRDefault="001B24D0" w:rsidP="00EE78DC">
            <w:pPr>
              <w:jc w:val="both"/>
            </w:pPr>
          </w:p>
          <w:p w:rsidR="00FE3A45" w:rsidRDefault="001B24D0" w:rsidP="00EE78DC">
            <w:pPr>
              <w:jc w:val="both"/>
            </w:pPr>
            <w:r>
              <w:t>Th</w:t>
            </w:r>
            <w:r>
              <w:t>e substitute includes a provision revising the definition of "sale-leaseback transaction" and does not include</w:t>
            </w:r>
            <w:r>
              <w:t xml:space="preserve"> a provision</w:t>
            </w:r>
            <w:r>
              <w:t xml:space="preserve"> repeal</w:t>
            </w:r>
            <w:r>
              <w:t>ing</w:t>
            </w:r>
            <w:r>
              <w:t xml:space="preserve"> the definition.</w:t>
            </w:r>
          </w:p>
          <w:p w:rsidR="00FE3A45" w:rsidRDefault="001B24D0" w:rsidP="00EE78DC">
            <w:pPr>
              <w:jc w:val="both"/>
            </w:pPr>
          </w:p>
          <w:p w:rsidR="008D60FC" w:rsidRDefault="001B24D0" w:rsidP="00EE78DC">
            <w:pPr>
              <w:jc w:val="both"/>
            </w:pPr>
            <w:r>
              <w:t xml:space="preserve">The substitute does not include </w:t>
            </w:r>
            <w:r>
              <w:t xml:space="preserve">a </w:t>
            </w:r>
            <w:r>
              <w:t>repeal of a provision providing for the seller's return of property in a</w:t>
            </w:r>
            <w:r>
              <w:t xml:space="preserve"> sale-leaseback transaction </w:t>
            </w:r>
            <w:r>
              <w:t xml:space="preserve">or </w:t>
            </w:r>
            <w:r>
              <w:t xml:space="preserve">a provision creating a misdemeanor offense for the violation of </w:t>
            </w:r>
            <w:r>
              <w:t>a provision prohibiting certain actions taken</w:t>
            </w:r>
            <w:r>
              <w:t xml:space="preserve"> by a buyer in a sale-leaseback transaction against the seller. </w:t>
            </w:r>
          </w:p>
          <w:p w:rsidR="008D60FC" w:rsidRPr="008D60FC" w:rsidRDefault="001B24D0" w:rsidP="00570160">
            <w:pPr>
              <w:jc w:val="both"/>
            </w:pPr>
          </w:p>
        </w:tc>
      </w:tr>
      <w:tr w:rsidR="00733C88" w:rsidTr="00345119">
        <w:tc>
          <w:tcPr>
            <w:tcW w:w="9576" w:type="dxa"/>
          </w:tcPr>
          <w:p w:rsidR="000642D9" w:rsidRPr="009C1E9A" w:rsidRDefault="001B24D0" w:rsidP="00EE78DC">
            <w:pPr>
              <w:rPr>
                <w:b/>
                <w:u w:val="single"/>
              </w:rPr>
            </w:pPr>
          </w:p>
        </w:tc>
      </w:tr>
      <w:tr w:rsidR="00733C88" w:rsidTr="00345119">
        <w:tc>
          <w:tcPr>
            <w:tcW w:w="9576" w:type="dxa"/>
          </w:tcPr>
          <w:p w:rsidR="000642D9" w:rsidRPr="000642D9" w:rsidRDefault="001B24D0" w:rsidP="00EE78DC">
            <w:pPr>
              <w:jc w:val="both"/>
            </w:pPr>
          </w:p>
        </w:tc>
      </w:tr>
    </w:tbl>
    <w:p w:rsidR="008423E4" w:rsidRPr="00BE0E75" w:rsidRDefault="001B24D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B24D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24D0">
      <w:r>
        <w:separator/>
      </w:r>
    </w:p>
  </w:endnote>
  <w:endnote w:type="continuationSeparator" w:id="0">
    <w:p w:rsidR="00000000" w:rsidRDefault="001B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3C88" w:rsidTr="009C1E9A">
      <w:trPr>
        <w:cantSplit/>
      </w:trPr>
      <w:tc>
        <w:tcPr>
          <w:tcW w:w="0" w:type="pct"/>
        </w:tcPr>
        <w:p w:rsidR="00137D90" w:rsidRDefault="001B24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B24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B24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B24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B24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3C88" w:rsidTr="009C1E9A">
      <w:trPr>
        <w:cantSplit/>
      </w:trPr>
      <w:tc>
        <w:tcPr>
          <w:tcW w:w="0" w:type="pct"/>
        </w:tcPr>
        <w:p w:rsidR="00EC379B" w:rsidRDefault="001B24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B24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28154</w:t>
          </w:r>
        </w:p>
      </w:tc>
      <w:tc>
        <w:tcPr>
          <w:tcW w:w="2453" w:type="pct"/>
        </w:tcPr>
        <w:p w:rsidR="00EC379B" w:rsidRDefault="001B24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19.108.162</w:t>
          </w:r>
          <w:r>
            <w:fldChar w:fldCharType="end"/>
          </w:r>
        </w:p>
      </w:tc>
    </w:tr>
    <w:tr w:rsidR="00733C88" w:rsidTr="009C1E9A">
      <w:trPr>
        <w:cantSplit/>
      </w:trPr>
      <w:tc>
        <w:tcPr>
          <w:tcW w:w="0" w:type="pct"/>
        </w:tcPr>
        <w:p w:rsidR="00EC379B" w:rsidRDefault="001B24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B24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26745</w:t>
          </w:r>
        </w:p>
      </w:tc>
      <w:tc>
        <w:tcPr>
          <w:tcW w:w="2453" w:type="pct"/>
        </w:tcPr>
        <w:p w:rsidR="00EC379B" w:rsidRDefault="001B24D0" w:rsidP="006D504F">
          <w:pPr>
            <w:pStyle w:val="Footer"/>
            <w:rPr>
              <w:rStyle w:val="PageNumber"/>
            </w:rPr>
          </w:pPr>
        </w:p>
        <w:p w:rsidR="00EC379B" w:rsidRDefault="001B24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3C8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B24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B24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B24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2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24D0">
      <w:r>
        <w:separator/>
      </w:r>
    </w:p>
  </w:footnote>
  <w:footnote w:type="continuationSeparator" w:id="0">
    <w:p w:rsidR="00000000" w:rsidRDefault="001B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2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2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7FED"/>
    <w:multiLevelType w:val="hybridMultilevel"/>
    <w:tmpl w:val="D7F6B4D0"/>
    <w:lvl w:ilvl="0" w:tplc="897CC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8C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08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2A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0C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F2E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E0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ED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82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A4B0B"/>
    <w:multiLevelType w:val="hybridMultilevel"/>
    <w:tmpl w:val="64C2E338"/>
    <w:lvl w:ilvl="0" w:tplc="2D7A2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C6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A7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8D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A7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5AD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07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2C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E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6312C"/>
    <w:multiLevelType w:val="hybridMultilevel"/>
    <w:tmpl w:val="26D62F58"/>
    <w:lvl w:ilvl="0" w:tplc="9E50C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20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2E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8F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AC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8A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E3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28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25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88"/>
    <w:rsid w:val="001B24D0"/>
    <w:rsid w:val="007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A98370-587C-44AF-9977-38215C8D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4D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4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4D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4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4DCE"/>
    <w:rPr>
      <w:b/>
      <w:bCs/>
    </w:rPr>
  </w:style>
  <w:style w:type="character" w:styleId="Hyperlink">
    <w:name w:val="Hyperlink"/>
    <w:basedOn w:val="DefaultParagraphFont"/>
    <w:unhideWhenUsed/>
    <w:rsid w:val="008A4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2749</Characters>
  <Application>Microsoft Office Word</Application>
  <DocSecurity>4</DocSecurity>
  <Lines>75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HB03292 (Committee Report (Substituted))</vt:lpstr>
    </vt:vector>
  </TitlesOfParts>
  <Company>State of Texas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28154</dc:subject>
  <dc:creator>State of Texas</dc:creator>
  <dc:description>HB 3292 by Gutierrez-(H)Pensions, Investments &amp; Financial Services (Substitute Document Number: 86R 26745)</dc:description>
  <cp:lastModifiedBy>Stacey Nicchio</cp:lastModifiedBy>
  <cp:revision>2</cp:revision>
  <cp:lastPrinted>2003-11-26T17:21:00Z</cp:lastPrinted>
  <dcterms:created xsi:type="dcterms:W3CDTF">2019-04-23T16:48:00Z</dcterms:created>
  <dcterms:modified xsi:type="dcterms:W3CDTF">2019-04-23T16:48:00Z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19.108.162</vt:lpwstr>
  </property>
</Properties>
</file>