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12AD3" w:rsidTr="00345119">
        <w:tc>
          <w:tcPr>
            <w:tcW w:w="9576" w:type="dxa"/>
            <w:noWrap/>
          </w:tcPr>
          <w:p w:rsidR="008423E4" w:rsidRPr="0022177D" w:rsidRDefault="0056475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64754" w:rsidP="008423E4">
      <w:pPr>
        <w:jc w:val="center"/>
      </w:pPr>
    </w:p>
    <w:p w:rsidR="008423E4" w:rsidRPr="00B31F0E" w:rsidRDefault="00564754" w:rsidP="008423E4"/>
    <w:p w:rsidR="008423E4" w:rsidRPr="00742794" w:rsidRDefault="0056475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12AD3" w:rsidTr="00345119">
        <w:tc>
          <w:tcPr>
            <w:tcW w:w="9576" w:type="dxa"/>
          </w:tcPr>
          <w:p w:rsidR="008423E4" w:rsidRPr="00861995" w:rsidRDefault="00564754" w:rsidP="00345119">
            <w:pPr>
              <w:jc w:val="right"/>
            </w:pPr>
            <w:r>
              <w:t>H.B. 3304</w:t>
            </w:r>
          </w:p>
        </w:tc>
      </w:tr>
      <w:tr w:rsidR="00A12AD3" w:rsidTr="00345119">
        <w:tc>
          <w:tcPr>
            <w:tcW w:w="9576" w:type="dxa"/>
          </w:tcPr>
          <w:p w:rsidR="008423E4" w:rsidRPr="00861995" w:rsidRDefault="00564754" w:rsidP="00063F0E">
            <w:pPr>
              <w:jc w:val="right"/>
            </w:pPr>
            <w:r>
              <w:t xml:space="preserve">By: </w:t>
            </w:r>
            <w:r>
              <w:t>Raymond</w:t>
            </w:r>
          </w:p>
        </w:tc>
      </w:tr>
      <w:tr w:rsidR="00A12AD3" w:rsidTr="00345119">
        <w:tc>
          <w:tcPr>
            <w:tcW w:w="9576" w:type="dxa"/>
          </w:tcPr>
          <w:p w:rsidR="008423E4" w:rsidRPr="00861995" w:rsidRDefault="00564754" w:rsidP="00345119">
            <w:pPr>
              <w:jc w:val="right"/>
            </w:pPr>
            <w:r>
              <w:t>Public Health</w:t>
            </w:r>
          </w:p>
        </w:tc>
      </w:tr>
      <w:tr w:rsidR="00A12AD3" w:rsidTr="00345119">
        <w:tc>
          <w:tcPr>
            <w:tcW w:w="9576" w:type="dxa"/>
          </w:tcPr>
          <w:p w:rsidR="008423E4" w:rsidRDefault="00564754" w:rsidP="00063F0E">
            <w:pPr>
              <w:jc w:val="right"/>
            </w:pPr>
            <w:r>
              <w:t>Committee Report (Unamended)</w:t>
            </w:r>
          </w:p>
        </w:tc>
      </w:tr>
    </w:tbl>
    <w:p w:rsidR="008423E4" w:rsidRDefault="00564754" w:rsidP="008423E4">
      <w:pPr>
        <w:tabs>
          <w:tab w:val="right" w:pos="9360"/>
        </w:tabs>
      </w:pPr>
    </w:p>
    <w:p w:rsidR="008423E4" w:rsidRDefault="00564754" w:rsidP="008423E4"/>
    <w:p w:rsidR="008423E4" w:rsidRDefault="0056475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12AD3" w:rsidTr="00345119">
        <w:tc>
          <w:tcPr>
            <w:tcW w:w="9576" w:type="dxa"/>
          </w:tcPr>
          <w:p w:rsidR="008423E4" w:rsidRPr="00A8133F" w:rsidRDefault="00564754" w:rsidP="001E2A5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64754" w:rsidP="001E2A57"/>
          <w:p w:rsidR="008423E4" w:rsidRDefault="00564754" w:rsidP="001E2A57">
            <w:pPr>
              <w:pStyle w:val="Header"/>
              <w:jc w:val="both"/>
            </w:pPr>
            <w:r>
              <w:t xml:space="preserve">Concerns have been raised regarding the expiration of certain statutory provisions </w:t>
            </w:r>
            <w:r w:rsidRPr="000F4540">
              <w:t xml:space="preserve">governing the electronic exchange of health information, </w:t>
            </w:r>
            <w:r w:rsidRPr="000F4540">
              <w:t>the administration of the exchange by the Texas Health Services Authority (THSA), and the powers and duties of the THSA with respect to the exchange</w:t>
            </w:r>
            <w:r>
              <w:t xml:space="preserve">. It has been suggested that the state has an interest in continuing </w:t>
            </w:r>
            <w:r w:rsidRPr="007E6B2D">
              <w:t>to maintain oversight of THSA</w:t>
            </w:r>
            <w:r>
              <w:t xml:space="preserve"> due to fu</w:t>
            </w:r>
            <w:r>
              <w:t xml:space="preserve">ture plans </w:t>
            </w:r>
            <w:r>
              <w:t>to provide secure access to electronic health information in shelter environments during natural disasters.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3304 </w:t>
            </w:r>
            <w:r>
              <w:t xml:space="preserve">seeks to address these concerns by </w:t>
            </w:r>
            <w:r>
              <w:t>remov</w:t>
            </w:r>
            <w:r>
              <w:t>ing the expiration of such statutory provisions.</w:t>
            </w:r>
          </w:p>
          <w:p w:rsidR="008423E4" w:rsidRPr="00E26B13" w:rsidRDefault="00564754" w:rsidP="001E2A57">
            <w:pPr>
              <w:rPr>
                <w:b/>
              </w:rPr>
            </w:pPr>
          </w:p>
        </w:tc>
      </w:tr>
      <w:tr w:rsidR="00A12AD3" w:rsidTr="00345119">
        <w:tc>
          <w:tcPr>
            <w:tcW w:w="9576" w:type="dxa"/>
          </w:tcPr>
          <w:p w:rsidR="0017725B" w:rsidRDefault="00564754" w:rsidP="001E2A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64754" w:rsidP="001E2A57">
            <w:pPr>
              <w:rPr>
                <w:b/>
                <w:u w:val="single"/>
              </w:rPr>
            </w:pPr>
          </w:p>
          <w:p w:rsidR="009B5C0E" w:rsidRPr="009B5C0E" w:rsidRDefault="00564754" w:rsidP="001E2A57">
            <w:pPr>
              <w:jc w:val="both"/>
            </w:pPr>
            <w:r>
              <w:t>It is the c</w:t>
            </w:r>
            <w:r>
              <w:t>ommittee's opinion that this bill does not expressly create a criminal offense, increase the punishment for an existing criminal offense or category of offenses, or change the eligibility of a person for community supervision, parole, or mandatory supervis</w:t>
            </w:r>
            <w:r>
              <w:t>ion.</w:t>
            </w:r>
          </w:p>
          <w:p w:rsidR="0017725B" w:rsidRPr="0017725B" w:rsidRDefault="00564754" w:rsidP="001E2A57">
            <w:pPr>
              <w:rPr>
                <w:b/>
                <w:u w:val="single"/>
              </w:rPr>
            </w:pPr>
          </w:p>
        </w:tc>
      </w:tr>
      <w:tr w:rsidR="00A12AD3" w:rsidTr="00345119">
        <w:tc>
          <w:tcPr>
            <w:tcW w:w="9576" w:type="dxa"/>
          </w:tcPr>
          <w:p w:rsidR="008423E4" w:rsidRPr="00A8133F" w:rsidRDefault="00564754" w:rsidP="001E2A5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64754" w:rsidP="001E2A57"/>
          <w:p w:rsidR="009B5C0E" w:rsidRDefault="00564754" w:rsidP="001E2A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64754" w:rsidP="001E2A57">
            <w:pPr>
              <w:rPr>
                <w:b/>
              </w:rPr>
            </w:pPr>
          </w:p>
        </w:tc>
      </w:tr>
      <w:tr w:rsidR="00A12AD3" w:rsidTr="00345119">
        <w:tc>
          <w:tcPr>
            <w:tcW w:w="9576" w:type="dxa"/>
          </w:tcPr>
          <w:p w:rsidR="008423E4" w:rsidRPr="00A8133F" w:rsidRDefault="00564754" w:rsidP="001E2A5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64754" w:rsidP="001E2A57"/>
          <w:p w:rsidR="005F1B80" w:rsidRDefault="00564754" w:rsidP="001E2A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3304 </w:t>
            </w:r>
            <w:r>
              <w:t xml:space="preserve">repeals </w:t>
            </w:r>
            <w:r>
              <w:t>Hea</w:t>
            </w:r>
            <w:r>
              <w:t>l</w:t>
            </w:r>
            <w:r>
              <w:t>th and Safety Code provisions</w:t>
            </w:r>
            <w:r>
              <w:t xml:space="preserve"> </w:t>
            </w:r>
            <w:r w:rsidRPr="007F51D2">
              <w:t xml:space="preserve">that provide for the expiration on September 1, 2021, of </w:t>
            </w:r>
            <w:r>
              <w:t xml:space="preserve">certain </w:t>
            </w:r>
            <w:r w:rsidRPr="007F51D2">
              <w:t xml:space="preserve">provisions </w:t>
            </w:r>
            <w:r>
              <w:t xml:space="preserve">governing </w:t>
            </w:r>
            <w:r w:rsidRPr="007F51D2">
              <w:t xml:space="preserve">the </w:t>
            </w:r>
            <w:r>
              <w:t>electronic exchange of health information</w:t>
            </w:r>
            <w:r>
              <w:t xml:space="preserve">, the administration of the exchange by </w:t>
            </w:r>
            <w:r>
              <w:t>the</w:t>
            </w:r>
            <w:r>
              <w:t xml:space="preserve"> </w:t>
            </w:r>
            <w:r w:rsidRPr="007F51D2">
              <w:t>Texas Health Services Authority</w:t>
            </w:r>
            <w:r>
              <w:t xml:space="preserve"> (THSA)</w:t>
            </w:r>
            <w:r>
              <w:t>,</w:t>
            </w:r>
            <w:r>
              <w:t xml:space="preserve"> and </w:t>
            </w:r>
            <w:r>
              <w:t xml:space="preserve">the </w:t>
            </w:r>
            <w:r>
              <w:t xml:space="preserve">powers and duties </w:t>
            </w:r>
            <w:r>
              <w:t xml:space="preserve">of the THSA </w:t>
            </w:r>
            <w:r>
              <w:t>wi</w:t>
            </w:r>
            <w:r>
              <w:t xml:space="preserve">th respect to the exchange. </w:t>
            </w:r>
          </w:p>
          <w:p w:rsidR="009B5C0E" w:rsidRDefault="00564754" w:rsidP="001E2A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D07FE" w:rsidRDefault="00564754" w:rsidP="001E2A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</w:t>
            </w:r>
            <w:r>
              <w:t>3</w:t>
            </w:r>
            <w:r>
              <w:t xml:space="preserve">04 repeals </w:t>
            </w:r>
            <w:r w:rsidRPr="004452D1">
              <w:t xml:space="preserve">Section 15(b), </w:t>
            </w:r>
            <w:r>
              <w:t xml:space="preserve">as added by </w:t>
            </w:r>
            <w:r w:rsidRPr="004452D1">
              <w:t>Chapter 12 (S.B. 203), Acts of the 84th Legislature, Regular Session, 2015</w:t>
            </w:r>
            <w:r>
              <w:t>, which provides for the amendment of the T</w:t>
            </w:r>
            <w:r>
              <w:t>HS</w:t>
            </w:r>
            <w:r>
              <w:t>A-developed</w:t>
            </w:r>
            <w:r>
              <w:t xml:space="preserve"> privacy and security standards for the electronic </w:t>
            </w:r>
            <w:r>
              <w:t xml:space="preserve">sharing of protected health information </w:t>
            </w:r>
            <w:r>
              <w:t>by the Health and Human Services Commission</w:t>
            </w:r>
            <w:r>
              <w:t>, e</w:t>
            </w:r>
            <w:r>
              <w:t>ffective September 1, 2021</w:t>
            </w:r>
            <w:r>
              <w:t>.</w:t>
            </w:r>
          </w:p>
          <w:p w:rsidR="00E4091B" w:rsidRDefault="00564754" w:rsidP="001E2A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D07FE" w:rsidRDefault="00564754" w:rsidP="001E2A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3304 re</w:t>
            </w:r>
            <w:r>
              <w:t>peals the following provisions</w:t>
            </w:r>
            <w:r>
              <w:t xml:space="preserve"> of the Health and Safety Code</w:t>
            </w:r>
            <w:r>
              <w:t xml:space="preserve">: </w:t>
            </w:r>
          </w:p>
          <w:p w:rsidR="009B5C0E" w:rsidRDefault="00564754" w:rsidP="001E2A5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182.003</w:t>
            </w:r>
          </w:p>
          <w:p w:rsidR="009B5C0E" w:rsidRDefault="00564754" w:rsidP="001E2A5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182.052</w:t>
            </w:r>
          </w:p>
          <w:p w:rsidR="009B5C0E" w:rsidRDefault="00564754" w:rsidP="001E2A5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182.101(b)</w:t>
            </w:r>
          </w:p>
          <w:p w:rsidR="009B5C0E" w:rsidRDefault="00564754" w:rsidP="001E2A5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182.102</w:t>
            </w:r>
            <w:r>
              <w:t>(c)</w:t>
            </w:r>
          </w:p>
          <w:p w:rsidR="009B5C0E" w:rsidRDefault="00564754" w:rsidP="001E2A5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182.103(d)</w:t>
            </w:r>
          </w:p>
          <w:p w:rsidR="009B5C0E" w:rsidRDefault="00564754" w:rsidP="001E2A5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182.104(b)</w:t>
            </w:r>
          </w:p>
          <w:p w:rsidR="009B5C0E" w:rsidRDefault="00564754" w:rsidP="001E2A5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182.105(b)</w:t>
            </w:r>
          </w:p>
          <w:p w:rsidR="009B5C0E" w:rsidRDefault="00564754" w:rsidP="001E2A5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182.106(b)</w:t>
            </w:r>
          </w:p>
          <w:p w:rsidR="009B5C0E" w:rsidRDefault="00564754" w:rsidP="001E2A5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182.107(d)</w:t>
            </w:r>
          </w:p>
          <w:p w:rsidR="004452D1" w:rsidRDefault="00564754" w:rsidP="001E2A5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182.108(f)</w:t>
            </w:r>
          </w:p>
          <w:p w:rsidR="008423E4" w:rsidRPr="00835628" w:rsidRDefault="00564754" w:rsidP="001E2A57">
            <w:pPr>
              <w:rPr>
                <w:b/>
              </w:rPr>
            </w:pPr>
          </w:p>
        </w:tc>
      </w:tr>
      <w:tr w:rsidR="00A12AD3" w:rsidTr="00345119">
        <w:tc>
          <w:tcPr>
            <w:tcW w:w="9576" w:type="dxa"/>
          </w:tcPr>
          <w:p w:rsidR="008423E4" w:rsidRPr="00A8133F" w:rsidRDefault="00564754" w:rsidP="001E2A5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64754" w:rsidP="001E2A57"/>
          <w:p w:rsidR="008423E4" w:rsidRPr="003624F2" w:rsidRDefault="00564754" w:rsidP="001E2A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564754" w:rsidP="001E2A57">
            <w:pPr>
              <w:rPr>
                <w:b/>
              </w:rPr>
            </w:pPr>
          </w:p>
        </w:tc>
      </w:tr>
    </w:tbl>
    <w:p w:rsidR="008423E4" w:rsidRPr="00BE0E75" w:rsidRDefault="0056475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6475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4754">
      <w:r>
        <w:separator/>
      </w:r>
    </w:p>
  </w:endnote>
  <w:endnote w:type="continuationSeparator" w:id="0">
    <w:p w:rsidR="00000000" w:rsidRDefault="0056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4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12AD3" w:rsidTr="009C1E9A">
      <w:trPr>
        <w:cantSplit/>
      </w:trPr>
      <w:tc>
        <w:tcPr>
          <w:tcW w:w="0" w:type="pct"/>
        </w:tcPr>
        <w:p w:rsidR="00137D90" w:rsidRDefault="005647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6475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6475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647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647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12AD3" w:rsidTr="009C1E9A">
      <w:trPr>
        <w:cantSplit/>
      </w:trPr>
      <w:tc>
        <w:tcPr>
          <w:tcW w:w="0" w:type="pct"/>
        </w:tcPr>
        <w:p w:rsidR="00EC379B" w:rsidRDefault="005647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6475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29027</w:t>
          </w:r>
        </w:p>
      </w:tc>
      <w:tc>
        <w:tcPr>
          <w:tcW w:w="2453" w:type="pct"/>
        </w:tcPr>
        <w:p w:rsidR="00EC379B" w:rsidRDefault="005647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19.112.851</w:t>
          </w:r>
          <w:r>
            <w:fldChar w:fldCharType="end"/>
          </w:r>
        </w:p>
      </w:tc>
    </w:tr>
    <w:tr w:rsidR="00A12AD3" w:rsidTr="009C1E9A">
      <w:trPr>
        <w:cantSplit/>
      </w:trPr>
      <w:tc>
        <w:tcPr>
          <w:tcW w:w="0" w:type="pct"/>
        </w:tcPr>
        <w:p w:rsidR="00EC379B" w:rsidRDefault="005647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647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64754" w:rsidP="006D504F">
          <w:pPr>
            <w:pStyle w:val="Footer"/>
            <w:rPr>
              <w:rStyle w:val="PageNumber"/>
            </w:rPr>
          </w:pPr>
        </w:p>
        <w:p w:rsidR="00EC379B" w:rsidRDefault="005647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12AD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6475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6475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6475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4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4754">
      <w:r>
        <w:separator/>
      </w:r>
    </w:p>
  </w:footnote>
  <w:footnote w:type="continuationSeparator" w:id="0">
    <w:p w:rsidR="00000000" w:rsidRDefault="00564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4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47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4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0AB0"/>
    <w:multiLevelType w:val="hybridMultilevel"/>
    <w:tmpl w:val="54CA545A"/>
    <w:lvl w:ilvl="0" w:tplc="FACE5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E19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4D0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85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8E3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BE49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A1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A0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587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D3"/>
    <w:rsid w:val="00564754"/>
    <w:rsid w:val="00A1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D57747-3A82-4086-AF11-25DE9E18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B5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5C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5C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5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5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1863</Characters>
  <Application>Microsoft Office Word</Application>
  <DocSecurity>4</DocSecurity>
  <Lines>61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HB03304 (Committee Report (Unamended))</vt:lpstr>
    </vt:vector>
  </TitlesOfParts>
  <Company>State of Texas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29027</dc:subject>
  <dc:creator>State of Texas</dc:creator>
  <dc:description>HB 3304 by Raymond-(H)Public Health</dc:description>
  <cp:lastModifiedBy>Scotty Wimberley</cp:lastModifiedBy>
  <cp:revision>2</cp:revision>
  <cp:lastPrinted>2003-11-26T17:21:00Z</cp:lastPrinted>
  <dcterms:created xsi:type="dcterms:W3CDTF">2019-04-30T18:49:00Z</dcterms:created>
  <dcterms:modified xsi:type="dcterms:W3CDTF">2019-04-30T18:49:00Z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19.112.851</vt:lpwstr>
  </property>
</Properties>
</file>