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62A2" w:rsidTr="00345119">
        <w:tc>
          <w:tcPr>
            <w:tcW w:w="9576" w:type="dxa"/>
            <w:noWrap/>
          </w:tcPr>
          <w:p w:rsidR="008423E4" w:rsidRPr="0022177D" w:rsidRDefault="00EF3F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F3F64" w:rsidP="008423E4">
      <w:pPr>
        <w:jc w:val="center"/>
      </w:pPr>
    </w:p>
    <w:p w:rsidR="008423E4" w:rsidRPr="00B31F0E" w:rsidRDefault="00EF3F64" w:rsidP="008423E4"/>
    <w:p w:rsidR="008423E4" w:rsidRPr="00742794" w:rsidRDefault="00EF3F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62A2" w:rsidTr="00345119">
        <w:tc>
          <w:tcPr>
            <w:tcW w:w="9576" w:type="dxa"/>
          </w:tcPr>
          <w:p w:rsidR="008423E4" w:rsidRPr="00861995" w:rsidRDefault="00EF3F64" w:rsidP="00345119">
            <w:pPr>
              <w:jc w:val="right"/>
            </w:pPr>
            <w:r>
              <w:t>C.S.H.B. 3305</w:t>
            </w:r>
          </w:p>
        </w:tc>
      </w:tr>
      <w:tr w:rsidR="000462A2" w:rsidTr="00345119">
        <w:tc>
          <w:tcPr>
            <w:tcW w:w="9576" w:type="dxa"/>
          </w:tcPr>
          <w:p w:rsidR="008423E4" w:rsidRPr="00861995" w:rsidRDefault="00EF3F64" w:rsidP="006B1046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0462A2" w:rsidTr="00345119">
        <w:tc>
          <w:tcPr>
            <w:tcW w:w="9576" w:type="dxa"/>
          </w:tcPr>
          <w:p w:rsidR="008423E4" w:rsidRPr="00861995" w:rsidRDefault="00EF3F64" w:rsidP="00345119">
            <w:pPr>
              <w:jc w:val="right"/>
            </w:pPr>
            <w:r>
              <w:t>Judiciary &amp; Civil Jurisprudence</w:t>
            </w:r>
          </w:p>
        </w:tc>
      </w:tr>
      <w:tr w:rsidR="000462A2" w:rsidTr="00345119">
        <w:tc>
          <w:tcPr>
            <w:tcW w:w="9576" w:type="dxa"/>
          </w:tcPr>
          <w:p w:rsidR="008423E4" w:rsidRDefault="00EF3F6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F3F64" w:rsidP="008423E4">
      <w:pPr>
        <w:tabs>
          <w:tab w:val="right" w:pos="9360"/>
        </w:tabs>
      </w:pPr>
    </w:p>
    <w:p w:rsidR="008423E4" w:rsidRDefault="00EF3F64" w:rsidP="008423E4"/>
    <w:p w:rsidR="008423E4" w:rsidRDefault="00EF3F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62A2" w:rsidTr="00345119">
        <w:tc>
          <w:tcPr>
            <w:tcW w:w="9576" w:type="dxa"/>
          </w:tcPr>
          <w:p w:rsidR="008423E4" w:rsidRPr="00A8133F" w:rsidRDefault="00EF3F64" w:rsidP="00844F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F3F64" w:rsidP="00844FF2"/>
          <w:p w:rsidR="008423E4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previous legislation to ensure the </w:t>
            </w:r>
            <w:r>
              <w:t xml:space="preserve">personal </w:t>
            </w:r>
            <w:r>
              <w:t xml:space="preserve">safety of judges by redacting certain personal information about a judge from public records </w:t>
            </w:r>
            <w:r>
              <w:t xml:space="preserve">did not extend to campaign report filings </w:t>
            </w:r>
            <w:r>
              <w:t>or to</w:t>
            </w:r>
            <w:r>
              <w:t xml:space="preserve"> certain documents filed with a county clerk and included in a public database.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3305 seeks to build on </w:t>
            </w:r>
            <w:r>
              <w:t>exis</w:t>
            </w:r>
            <w:r>
              <w:t>ting measures</w:t>
            </w:r>
            <w:r>
              <w:t xml:space="preserve"> </w:t>
            </w:r>
            <w:r>
              <w:t xml:space="preserve">to protect judges </w:t>
            </w:r>
            <w:r>
              <w:t xml:space="preserve">by requiring </w:t>
            </w:r>
            <w:r>
              <w:t>similar redactions from these additional types of records.</w:t>
            </w:r>
          </w:p>
          <w:p w:rsidR="008423E4" w:rsidRPr="00E26B13" w:rsidRDefault="00EF3F64" w:rsidP="00844FF2">
            <w:pPr>
              <w:rPr>
                <w:b/>
              </w:rPr>
            </w:pPr>
          </w:p>
        </w:tc>
      </w:tr>
      <w:tr w:rsidR="000462A2" w:rsidTr="00345119">
        <w:tc>
          <w:tcPr>
            <w:tcW w:w="9576" w:type="dxa"/>
          </w:tcPr>
          <w:p w:rsidR="0017725B" w:rsidRDefault="00EF3F64" w:rsidP="00844F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F3F64" w:rsidP="00844FF2">
            <w:pPr>
              <w:rPr>
                <w:b/>
                <w:u w:val="single"/>
              </w:rPr>
            </w:pPr>
          </w:p>
          <w:p w:rsidR="00C34E9E" w:rsidRPr="00C34E9E" w:rsidRDefault="00EF3F64" w:rsidP="00844FF2">
            <w:pPr>
              <w:jc w:val="both"/>
            </w:pPr>
            <w:r>
              <w:t>It is the committee's opinion that this bill does not expressly create a criminal offense, increase the punishment for an exi</w:t>
            </w:r>
            <w:r>
              <w:t>sting criminal offense or category of offenses, or change the eligibility of a person for community supervision, parole, or mandatory supervision.</w:t>
            </w:r>
          </w:p>
          <w:p w:rsidR="0017725B" w:rsidRPr="0017725B" w:rsidRDefault="00EF3F64" w:rsidP="00844FF2">
            <w:pPr>
              <w:rPr>
                <w:b/>
                <w:u w:val="single"/>
              </w:rPr>
            </w:pPr>
          </w:p>
        </w:tc>
      </w:tr>
      <w:tr w:rsidR="000462A2" w:rsidTr="00345119">
        <w:tc>
          <w:tcPr>
            <w:tcW w:w="9576" w:type="dxa"/>
          </w:tcPr>
          <w:p w:rsidR="008423E4" w:rsidRPr="00A8133F" w:rsidRDefault="00EF3F64" w:rsidP="00844F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F3F64" w:rsidP="00844FF2"/>
          <w:p w:rsidR="00C34E9E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</w:t>
            </w:r>
            <w:r>
              <w:t xml:space="preserve"> rulemaking authority to a state officer, department, agency, or institution.</w:t>
            </w:r>
          </w:p>
          <w:p w:rsidR="008423E4" w:rsidRPr="00E21FDC" w:rsidRDefault="00EF3F64" w:rsidP="00844FF2">
            <w:pPr>
              <w:rPr>
                <w:b/>
              </w:rPr>
            </w:pPr>
          </w:p>
        </w:tc>
      </w:tr>
      <w:tr w:rsidR="000462A2" w:rsidTr="00345119">
        <w:tc>
          <w:tcPr>
            <w:tcW w:w="9576" w:type="dxa"/>
          </w:tcPr>
          <w:p w:rsidR="008423E4" w:rsidRPr="00A8133F" w:rsidRDefault="00EF3F64" w:rsidP="00844F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F3F64" w:rsidP="00844FF2"/>
          <w:p w:rsidR="00081FF8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3305 amends the Election Code to require the Texas Ethics Commission</w:t>
            </w:r>
            <w:r>
              <w:t xml:space="preserve"> TEC)</w:t>
            </w:r>
            <w:r>
              <w:t>, o</w:t>
            </w:r>
            <w:r w:rsidRPr="00623300">
              <w:t xml:space="preserve">n receiving notice from the Office of Court Administration of </w:t>
            </w:r>
            <w:r>
              <w:t>the Texas Judicial</w:t>
            </w:r>
            <w:r>
              <w:t xml:space="preserve"> System (OCA) of a</w:t>
            </w:r>
            <w:r w:rsidRPr="00623300">
              <w:t xml:space="preserve"> judge's qualification for office or </w:t>
            </w:r>
            <w:r>
              <w:t xml:space="preserve">on receipt of </w:t>
            </w:r>
            <w:r w:rsidRPr="00623300">
              <w:t>a written request from a federal judge, state judge</w:t>
            </w:r>
            <w:r>
              <w:t>,</w:t>
            </w:r>
            <w:r w:rsidRPr="00623300">
              <w:t xml:space="preserve"> or spouse of a federal or state judge,</w:t>
            </w:r>
            <w:r>
              <w:t xml:space="preserve"> to </w:t>
            </w:r>
            <w:r w:rsidRPr="00623300">
              <w:t>remove or redact the residence address of a federal judge, a state judge, or the spouse of a</w:t>
            </w:r>
            <w:r w:rsidRPr="00623300">
              <w:t xml:space="preserve"> federal or state judge</w:t>
            </w:r>
            <w:r>
              <w:t xml:space="preserve"> from any report filed by the judge in the judge's capacity or made available on the Internet under statutory provisions relating to political reporting</w:t>
            </w:r>
            <w:r w:rsidRPr="00623300">
              <w:t>.</w:t>
            </w:r>
          </w:p>
          <w:p w:rsidR="00081FF8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1FF8" w:rsidRDefault="00EF3F64" w:rsidP="00844FF2">
            <w:pPr>
              <w:pStyle w:val="Header"/>
              <w:jc w:val="both"/>
            </w:pPr>
            <w:r>
              <w:t>C.S.H.B. 3305 amends the Government Code to require the director of security a</w:t>
            </w:r>
            <w:r>
              <w:t xml:space="preserve">nd emergency preparedness annually to submit to the legislature </w:t>
            </w:r>
            <w:r w:rsidRPr="00623300">
              <w:t xml:space="preserve">a report </w:t>
            </w:r>
            <w:r>
              <w:t xml:space="preserve">and related recommendations </w:t>
            </w:r>
            <w:r w:rsidRPr="00623300">
              <w:t xml:space="preserve">on court security activities throughout </w:t>
            </w:r>
            <w:r>
              <w:t>Texas</w:t>
            </w:r>
            <w:r w:rsidRPr="00623300">
              <w:t xml:space="preserve"> supported by</w:t>
            </w:r>
            <w:r>
              <w:t xml:space="preserve"> the judicial security division of OCA. </w:t>
            </w:r>
          </w:p>
          <w:p w:rsidR="00081FF8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1FF8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3305 amends the Property Code to include in th</w:t>
            </w:r>
            <w:r>
              <w:t>e definition of "instrument," for purposes of statutory provisions relating to the confidentiality of personal information contained in real property records, any record recorded by a county clerk related to real property, including a mineral lease, a mech</w:t>
            </w:r>
            <w:r>
              <w:t>anic's lien, and the release of a mechanic's lien.</w:t>
            </w:r>
          </w:p>
          <w:p w:rsidR="00081FF8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1FF8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3305 amends the Tax Code to </w:t>
            </w:r>
            <w:r>
              <w:rPr>
                <w:color w:val="000000"/>
              </w:rPr>
              <w:t>clarify the definitions of "federal judge" and "state judge" used for purposes of statutory provisions relating to the confidentiality of home address information cont</w:t>
            </w:r>
            <w:r>
              <w:rPr>
                <w:color w:val="000000"/>
              </w:rPr>
              <w:t>ained in appraisal records.</w:t>
            </w:r>
          </w:p>
          <w:p w:rsidR="00081FF8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97094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3305 amends the Transportation Code to </w:t>
            </w:r>
            <w:r>
              <w:rPr>
                <w:color w:val="000000"/>
              </w:rPr>
              <w:t>clarify the definitions of "federal judge" and "state judge" used for purposes of statutory provisions relating to the omission of residence address information on a driver's lice</w:t>
            </w:r>
            <w:r>
              <w:rPr>
                <w:color w:val="000000"/>
              </w:rPr>
              <w:t>nse.</w:t>
            </w:r>
            <w:r>
              <w:t xml:space="preserve">  </w:t>
            </w:r>
          </w:p>
          <w:p w:rsidR="008423E4" w:rsidRPr="00835628" w:rsidRDefault="00EF3F64" w:rsidP="00844FF2">
            <w:pPr>
              <w:rPr>
                <w:b/>
              </w:rPr>
            </w:pPr>
          </w:p>
        </w:tc>
      </w:tr>
      <w:tr w:rsidR="000462A2" w:rsidTr="00345119">
        <w:tc>
          <w:tcPr>
            <w:tcW w:w="9576" w:type="dxa"/>
          </w:tcPr>
          <w:p w:rsidR="008423E4" w:rsidRPr="00A8133F" w:rsidRDefault="00EF3F64" w:rsidP="00844F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F3F64" w:rsidP="00844FF2"/>
          <w:p w:rsidR="008423E4" w:rsidRPr="003624F2" w:rsidRDefault="00EF3F64" w:rsidP="00844F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  <w:r>
              <w:t xml:space="preserve"> </w:t>
            </w:r>
          </w:p>
          <w:p w:rsidR="008423E4" w:rsidRPr="00233FDB" w:rsidRDefault="00EF3F64" w:rsidP="00844FF2">
            <w:pPr>
              <w:rPr>
                <w:b/>
              </w:rPr>
            </w:pPr>
          </w:p>
        </w:tc>
      </w:tr>
      <w:tr w:rsidR="000462A2" w:rsidTr="00345119">
        <w:tc>
          <w:tcPr>
            <w:tcW w:w="9576" w:type="dxa"/>
          </w:tcPr>
          <w:p w:rsidR="006B1046" w:rsidRDefault="00EF3F64" w:rsidP="00844F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43276" w:rsidRDefault="00EF3F64" w:rsidP="00844FF2">
            <w:pPr>
              <w:jc w:val="both"/>
            </w:pPr>
          </w:p>
          <w:p w:rsidR="00243276" w:rsidRDefault="00EF3F64" w:rsidP="00844FF2">
            <w:pPr>
              <w:jc w:val="both"/>
            </w:pPr>
            <w:r>
              <w:t xml:space="preserve">While C.S.H.B. </w:t>
            </w:r>
            <w:r>
              <w:t>3305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4436D0" w:rsidRDefault="00EF3F64" w:rsidP="00844FF2">
            <w:pPr>
              <w:jc w:val="both"/>
            </w:pPr>
          </w:p>
          <w:p w:rsidR="001E04D6" w:rsidRDefault="00EF3F64" w:rsidP="00844FF2">
            <w:pPr>
              <w:jc w:val="both"/>
            </w:pPr>
            <w:r>
              <w:t xml:space="preserve">The substitute does not include a specification, with regard to </w:t>
            </w:r>
            <w:r>
              <w:t xml:space="preserve">removal or </w:t>
            </w:r>
            <w:r>
              <w:t xml:space="preserve">redaction by the </w:t>
            </w:r>
            <w:r>
              <w:t xml:space="preserve">TEC </w:t>
            </w:r>
            <w:r>
              <w:t xml:space="preserve">of residence address information from certain reports, that such an action must be taken before permitting a person to inspect </w:t>
            </w:r>
            <w:r>
              <w:t>such a</w:t>
            </w:r>
            <w:r>
              <w:t xml:space="preserve"> report. The substitute changes a specification of an applicable report from a report filed</w:t>
            </w:r>
            <w:r>
              <w:t xml:space="preserve"> under certain Election Code provisions to any report filed by the judge in the judge's capacity.</w:t>
            </w:r>
          </w:p>
          <w:p w:rsidR="001E04D6" w:rsidRDefault="00EF3F64" w:rsidP="00844FF2">
            <w:pPr>
              <w:jc w:val="both"/>
            </w:pPr>
          </w:p>
          <w:p w:rsidR="004436D0" w:rsidRDefault="00EF3F64" w:rsidP="00844FF2">
            <w:pPr>
              <w:jc w:val="both"/>
            </w:pPr>
            <w:r>
              <w:t xml:space="preserve">The substitute </w:t>
            </w:r>
            <w:r>
              <w:t>does not include a requirement for a county clerk, on receipt of a certain written request, to omit or redact specified information from any d</w:t>
            </w:r>
            <w:r>
              <w:t>ocuments that are available in a certain online database</w:t>
            </w:r>
            <w:r>
              <w:t>. The substitute expands the applicability of existing requirements relating to such omission or redaction by</w:t>
            </w:r>
            <w:r>
              <w:t xml:space="preserve"> </w:t>
            </w:r>
            <w:r>
              <w:t xml:space="preserve">extending </w:t>
            </w:r>
            <w:r>
              <w:t>the definition of "instrument</w:t>
            </w:r>
            <w:r>
              <w:t>,</w:t>
            </w:r>
            <w:r>
              <w:t xml:space="preserve">" </w:t>
            </w:r>
            <w:r w:rsidRPr="002E2E96">
              <w:t>for purposes of statutory provisions relating to</w:t>
            </w:r>
            <w:r w:rsidRPr="002E2E96">
              <w:t xml:space="preserve"> the confidentiality of personal information contained in real property records</w:t>
            </w:r>
            <w:r>
              <w:t>,</w:t>
            </w:r>
            <w:r>
              <w:t xml:space="preserve"> to include any record recorded by a county clerk related to real property</w:t>
            </w:r>
            <w:r>
              <w:t>.</w:t>
            </w:r>
          </w:p>
          <w:p w:rsidR="00861E70" w:rsidRDefault="00EF3F64" w:rsidP="00844FF2">
            <w:pPr>
              <w:jc w:val="both"/>
            </w:pPr>
          </w:p>
          <w:p w:rsidR="00861E70" w:rsidRDefault="00EF3F64" w:rsidP="00844FF2">
            <w:pPr>
              <w:jc w:val="both"/>
            </w:pPr>
            <w:r>
              <w:t xml:space="preserve">The substitute includes clarifications of the definitions of "federal judge" and "state judge" </w:t>
            </w:r>
            <w:r w:rsidRPr="00861E70">
              <w:t>used</w:t>
            </w:r>
            <w:r w:rsidRPr="00861E70">
              <w:t xml:space="preserve"> for purposes of statutory provisions relating to the confidentiality of home address information contained in appraisal records</w:t>
            </w:r>
            <w:r>
              <w:t xml:space="preserve"> and relating </w:t>
            </w:r>
            <w:r w:rsidRPr="00861E70">
              <w:t>to the omission of residence address information on a driver's license</w:t>
            </w:r>
            <w:r>
              <w:t>.</w:t>
            </w:r>
          </w:p>
          <w:p w:rsidR="00861E70" w:rsidRDefault="00EF3F64" w:rsidP="00844FF2">
            <w:pPr>
              <w:jc w:val="both"/>
            </w:pPr>
          </w:p>
          <w:p w:rsidR="00861E70" w:rsidRDefault="00EF3F64" w:rsidP="00844FF2">
            <w:pPr>
              <w:jc w:val="both"/>
            </w:pPr>
            <w:r>
              <w:t>The substitute includes a procedural prov</w:t>
            </w:r>
            <w:r>
              <w:t>ision limiting the application of the bill's Election Code provisions to an applicable report filed on or after the bill's effective date.</w:t>
            </w:r>
          </w:p>
          <w:p w:rsidR="00243276" w:rsidRPr="00243276" w:rsidRDefault="00EF3F64" w:rsidP="00844FF2">
            <w:pPr>
              <w:jc w:val="both"/>
            </w:pPr>
          </w:p>
        </w:tc>
      </w:tr>
      <w:tr w:rsidR="000462A2" w:rsidTr="00345119">
        <w:tc>
          <w:tcPr>
            <w:tcW w:w="9576" w:type="dxa"/>
          </w:tcPr>
          <w:p w:rsidR="006B1046" w:rsidRPr="009C1E9A" w:rsidRDefault="00EF3F64" w:rsidP="00844FF2">
            <w:pPr>
              <w:rPr>
                <w:b/>
                <w:u w:val="single"/>
              </w:rPr>
            </w:pPr>
          </w:p>
        </w:tc>
      </w:tr>
      <w:tr w:rsidR="000462A2" w:rsidTr="00345119">
        <w:tc>
          <w:tcPr>
            <w:tcW w:w="9576" w:type="dxa"/>
          </w:tcPr>
          <w:p w:rsidR="006B1046" w:rsidRPr="006B1046" w:rsidRDefault="00EF3F64" w:rsidP="00844FF2">
            <w:pPr>
              <w:jc w:val="both"/>
            </w:pPr>
          </w:p>
        </w:tc>
      </w:tr>
    </w:tbl>
    <w:p w:rsidR="008423E4" w:rsidRPr="006A2E95" w:rsidRDefault="00EF3F64" w:rsidP="008423E4">
      <w:pPr>
        <w:spacing w:line="480" w:lineRule="auto"/>
        <w:jc w:val="both"/>
        <w:rPr>
          <w:rFonts w:ascii="Arial" w:hAnsi="Arial"/>
          <w:sz w:val="6"/>
          <w:szCs w:val="16"/>
        </w:rPr>
      </w:pPr>
    </w:p>
    <w:p w:rsidR="004108C3" w:rsidRPr="006A2E95" w:rsidRDefault="00EF3F64" w:rsidP="008423E4">
      <w:pPr>
        <w:rPr>
          <w:sz w:val="4"/>
        </w:rPr>
      </w:pPr>
    </w:p>
    <w:sectPr w:rsidR="004108C3" w:rsidRPr="006A2E9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3F64">
      <w:r>
        <w:separator/>
      </w:r>
    </w:p>
  </w:endnote>
  <w:endnote w:type="continuationSeparator" w:id="0">
    <w:p w:rsidR="00000000" w:rsidRDefault="00E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EF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62A2" w:rsidTr="009C1E9A">
      <w:trPr>
        <w:cantSplit/>
      </w:trPr>
      <w:tc>
        <w:tcPr>
          <w:tcW w:w="0" w:type="pct"/>
        </w:tcPr>
        <w:p w:rsidR="00137D90" w:rsidRDefault="00EF3F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F3F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F3F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F3F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F3F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2A2" w:rsidTr="009C1E9A">
      <w:trPr>
        <w:cantSplit/>
      </w:trPr>
      <w:tc>
        <w:tcPr>
          <w:tcW w:w="0" w:type="pct"/>
        </w:tcPr>
        <w:p w:rsidR="00EC379B" w:rsidRDefault="00EF3F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F3F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30628</w:t>
          </w:r>
        </w:p>
      </w:tc>
      <w:tc>
        <w:tcPr>
          <w:tcW w:w="2453" w:type="pct"/>
        </w:tcPr>
        <w:p w:rsidR="00EC379B" w:rsidRDefault="00EF3F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19.120.163</w:t>
          </w:r>
          <w:r>
            <w:fldChar w:fldCharType="end"/>
          </w:r>
        </w:p>
      </w:tc>
    </w:tr>
    <w:tr w:rsidR="000462A2" w:rsidTr="009C1E9A">
      <w:trPr>
        <w:cantSplit/>
      </w:trPr>
      <w:tc>
        <w:tcPr>
          <w:tcW w:w="0" w:type="pct"/>
        </w:tcPr>
        <w:p w:rsidR="00EC379B" w:rsidRDefault="00EF3F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F3F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20452</w:t>
          </w:r>
        </w:p>
      </w:tc>
      <w:tc>
        <w:tcPr>
          <w:tcW w:w="2453" w:type="pct"/>
        </w:tcPr>
        <w:p w:rsidR="00EC379B" w:rsidRPr="006A2E95" w:rsidRDefault="00EF3F64" w:rsidP="006D504F">
          <w:pPr>
            <w:pStyle w:val="Footer"/>
            <w:rPr>
              <w:rStyle w:val="PageNumber"/>
              <w:sz w:val="20"/>
            </w:rPr>
          </w:pPr>
        </w:p>
        <w:p w:rsidR="00EC379B" w:rsidRDefault="00EF3F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62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F3F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F3F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F3F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EF3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3F64">
      <w:r>
        <w:separator/>
      </w:r>
    </w:p>
  </w:footnote>
  <w:footnote w:type="continuationSeparator" w:id="0">
    <w:p w:rsidR="00000000" w:rsidRDefault="00EF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EF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EF3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EF3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A3B"/>
    <w:multiLevelType w:val="hybridMultilevel"/>
    <w:tmpl w:val="EF426A8C"/>
    <w:lvl w:ilvl="0" w:tplc="B92C8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09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40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06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69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61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CC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4D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A2"/>
    <w:rsid w:val="000462A2"/>
    <w:rsid w:val="00E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81792B-54A2-412A-8A56-4AEB50C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4E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4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4E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E9E"/>
    <w:rPr>
      <w:b/>
      <w:bCs/>
    </w:rPr>
  </w:style>
  <w:style w:type="paragraph" w:styleId="Revision">
    <w:name w:val="Revision"/>
    <w:hidden/>
    <w:uiPriority w:val="99"/>
    <w:semiHidden/>
    <w:rsid w:val="00C34E9E"/>
    <w:rPr>
      <w:sz w:val="24"/>
      <w:szCs w:val="24"/>
    </w:rPr>
  </w:style>
  <w:style w:type="character" w:styleId="Hyperlink">
    <w:name w:val="Hyperlink"/>
    <w:basedOn w:val="DefaultParagraphFont"/>
    <w:unhideWhenUsed/>
    <w:rsid w:val="0008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3816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HB03305 (Committee Report (Substituted))</vt:lpstr>
    </vt:vector>
  </TitlesOfParts>
  <Company>State of Texas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30628</dc:subject>
  <dc:creator>State of Texas</dc:creator>
  <dc:description>HB 3305 by Smithee-(H)Judiciary &amp; Civil Jurisprudence (Substitute Document Number: 86R 20452)</dc:description>
  <cp:lastModifiedBy>Erin Conway</cp:lastModifiedBy>
  <cp:revision>2</cp:revision>
  <cp:lastPrinted>2003-11-26T17:21:00Z</cp:lastPrinted>
  <dcterms:created xsi:type="dcterms:W3CDTF">2019-04-30T22:57:00Z</dcterms:created>
  <dcterms:modified xsi:type="dcterms:W3CDTF">2019-04-30T22:57:00Z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19.120.163</vt:lpwstr>
  </property>
</Properties>
</file>