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A50C2" w:rsidTr="00345119">
        <w:tc>
          <w:tcPr>
            <w:tcW w:w="9576" w:type="dxa"/>
            <w:noWrap/>
          </w:tcPr>
          <w:p w:rsidR="008423E4" w:rsidRPr="0022177D" w:rsidRDefault="007E286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286A" w:rsidP="008423E4">
      <w:pPr>
        <w:jc w:val="center"/>
      </w:pPr>
    </w:p>
    <w:p w:rsidR="008423E4" w:rsidRPr="00B31F0E" w:rsidRDefault="007E286A" w:rsidP="008423E4"/>
    <w:p w:rsidR="008423E4" w:rsidRPr="00742794" w:rsidRDefault="007E286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50C2" w:rsidTr="00345119">
        <w:tc>
          <w:tcPr>
            <w:tcW w:w="9576" w:type="dxa"/>
          </w:tcPr>
          <w:p w:rsidR="008423E4" w:rsidRPr="00861995" w:rsidRDefault="007E286A" w:rsidP="00345119">
            <w:pPr>
              <w:jc w:val="right"/>
            </w:pPr>
            <w:r>
              <w:t>C.S.H.B. 3413</w:t>
            </w:r>
          </w:p>
        </w:tc>
      </w:tr>
      <w:tr w:rsidR="004A50C2" w:rsidTr="00345119">
        <w:tc>
          <w:tcPr>
            <w:tcW w:w="9576" w:type="dxa"/>
          </w:tcPr>
          <w:p w:rsidR="008423E4" w:rsidRPr="00861995" w:rsidRDefault="007E286A" w:rsidP="005F6C2D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4A50C2" w:rsidTr="00345119">
        <w:tc>
          <w:tcPr>
            <w:tcW w:w="9576" w:type="dxa"/>
          </w:tcPr>
          <w:p w:rsidR="008423E4" w:rsidRPr="00861995" w:rsidRDefault="007E286A" w:rsidP="00345119">
            <w:pPr>
              <w:jc w:val="right"/>
            </w:pPr>
            <w:r>
              <w:t>Ways &amp; Means</w:t>
            </w:r>
          </w:p>
        </w:tc>
      </w:tr>
      <w:tr w:rsidR="004A50C2" w:rsidTr="00345119">
        <w:tc>
          <w:tcPr>
            <w:tcW w:w="9576" w:type="dxa"/>
          </w:tcPr>
          <w:p w:rsidR="008423E4" w:rsidRDefault="007E286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E286A" w:rsidP="008423E4">
      <w:pPr>
        <w:tabs>
          <w:tab w:val="right" w:pos="9360"/>
        </w:tabs>
      </w:pPr>
    </w:p>
    <w:p w:rsidR="008423E4" w:rsidRDefault="007E286A" w:rsidP="008423E4"/>
    <w:p w:rsidR="008423E4" w:rsidRDefault="007E286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A50C2" w:rsidTr="00345119">
        <w:tc>
          <w:tcPr>
            <w:tcW w:w="9576" w:type="dxa"/>
          </w:tcPr>
          <w:p w:rsidR="008423E4" w:rsidRPr="00A8133F" w:rsidRDefault="007E286A" w:rsidP="006A32A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286A" w:rsidP="006A32AF"/>
          <w:p w:rsidR="008423E4" w:rsidRDefault="007E286A" w:rsidP="006A32AF">
            <w:pPr>
              <w:pStyle w:val="Header"/>
              <w:jc w:val="both"/>
            </w:pPr>
            <w:r>
              <w:t>It has been suggested</w:t>
            </w:r>
            <w:r>
              <w:t xml:space="preserve"> that </w:t>
            </w:r>
            <w:r>
              <w:t xml:space="preserve">some </w:t>
            </w:r>
            <w:r>
              <w:t>world gold and silver market</w:t>
            </w:r>
            <w:r>
              <w:t>s</w:t>
            </w:r>
            <w:r>
              <w:t xml:space="preserve"> have an advantage over Texas in bullion depository trading services because </w:t>
            </w:r>
            <w:r>
              <w:t xml:space="preserve">certain </w:t>
            </w:r>
            <w:r>
              <w:t xml:space="preserve">precious metal market-making activities are not taxed. </w:t>
            </w:r>
            <w:r>
              <w:t xml:space="preserve">There have been calls to </w:t>
            </w:r>
            <w:r>
              <w:t xml:space="preserve">eliminate </w:t>
            </w:r>
            <w:r>
              <w:t xml:space="preserve">certain </w:t>
            </w:r>
            <w:r>
              <w:t>franchise tax liability for financial institutions and precious metal mar</w:t>
            </w:r>
            <w:r>
              <w:t>ket-making companies that choose to participate in Texas</w:t>
            </w:r>
            <w:r>
              <w:t>-</w:t>
            </w:r>
            <w:r>
              <w:t>based market-making activities.</w:t>
            </w:r>
            <w:r>
              <w:t xml:space="preserve"> </w:t>
            </w:r>
            <w:r>
              <w:t>C.S.</w:t>
            </w:r>
            <w:r>
              <w:t>H.B. 3413 seeks to address this issue by revising the application of the franchise tax to and computation of franchise tax owed by certain entities that hold preci</w:t>
            </w:r>
            <w:r>
              <w:t>ous metals</w:t>
            </w:r>
            <w:r>
              <w:t>.</w:t>
            </w:r>
          </w:p>
          <w:p w:rsidR="008423E4" w:rsidRPr="00E26B13" w:rsidRDefault="007E286A" w:rsidP="006A32AF">
            <w:pPr>
              <w:rPr>
                <w:b/>
              </w:rPr>
            </w:pPr>
          </w:p>
        </w:tc>
      </w:tr>
      <w:tr w:rsidR="004A50C2" w:rsidTr="00345119">
        <w:tc>
          <w:tcPr>
            <w:tcW w:w="9576" w:type="dxa"/>
          </w:tcPr>
          <w:p w:rsidR="0017725B" w:rsidRDefault="007E286A" w:rsidP="006A32A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286A" w:rsidP="006A32AF">
            <w:pPr>
              <w:rPr>
                <w:b/>
                <w:u w:val="single"/>
              </w:rPr>
            </w:pPr>
          </w:p>
          <w:p w:rsidR="00BA44D3" w:rsidRPr="00BA44D3" w:rsidRDefault="007E286A" w:rsidP="006A32A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7E286A" w:rsidP="006A32AF">
            <w:pPr>
              <w:rPr>
                <w:b/>
                <w:u w:val="single"/>
              </w:rPr>
            </w:pPr>
          </w:p>
        </w:tc>
      </w:tr>
      <w:tr w:rsidR="004A50C2" w:rsidTr="00345119">
        <w:tc>
          <w:tcPr>
            <w:tcW w:w="9576" w:type="dxa"/>
          </w:tcPr>
          <w:p w:rsidR="008423E4" w:rsidRPr="00A8133F" w:rsidRDefault="007E286A" w:rsidP="006A32A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286A" w:rsidP="006A32AF"/>
          <w:p w:rsidR="00BA44D3" w:rsidRDefault="007E286A" w:rsidP="006A32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E286A" w:rsidP="006A32AF">
            <w:pPr>
              <w:rPr>
                <w:b/>
              </w:rPr>
            </w:pPr>
          </w:p>
        </w:tc>
      </w:tr>
      <w:tr w:rsidR="004A50C2" w:rsidTr="00345119">
        <w:tc>
          <w:tcPr>
            <w:tcW w:w="9576" w:type="dxa"/>
          </w:tcPr>
          <w:p w:rsidR="008423E4" w:rsidRPr="00A8133F" w:rsidRDefault="007E286A" w:rsidP="006A32A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286A" w:rsidP="006A32AF"/>
          <w:p w:rsidR="00E928AC" w:rsidRDefault="007E286A" w:rsidP="006A32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3413 amends the Tax Code to </w:t>
            </w:r>
            <w:r>
              <w:t>establish that a taxable entity</w:t>
            </w:r>
            <w:r>
              <w:t xml:space="preserve"> whose only activity in Texas is as a bullion holder</w:t>
            </w:r>
            <w:r>
              <w:t>, as defined by the bill,</w:t>
            </w:r>
            <w:r>
              <w:t xml:space="preserve"> </w:t>
            </w:r>
            <w:r w:rsidRPr="00E928AC">
              <w:t xml:space="preserve">is not considered to be doing business in Texas for purposes of the franchise tax and is not required </w:t>
            </w:r>
            <w:r>
              <w:t xml:space="preserve">to file </w:t>
            </w:r>
            <w:r>
              <w:t>a franchise tax report.</w:t>
            </w:r>
            <w:r>
              <w:t xml:space="preserve"> The bill</w:t>
            </w:r>
            <w:r>
              <w:t xml:space="preserve"> requires a taxable entity that is a bullion holder to exclude from its total revenue, for the purpose of computing </w:t>
            </w:r>
            <w:r>
              <w:t xml:space="preserve">the entity's </w:t>
            </w:r>
            <w:r>
              <w:t>taxable margin</w:t>
            </w:r>
            <w:r>
              <w:t xml:space="preserve"> for the franchise tax</w:t>
            </w:r>
            <w:r>
              <w:t xml:space="preserve">, all gains or losses </w:t>
            </w:r>
            <w:r w:rsidRPr="00E928AC">
              <w:t>attributable to the purchase or the s</w:t>
            </w:r>
            <w:r w:rsidRPr="00E928AC">
              <w:t xml:space="preserve">ale, trade, barter, gift, donation, or other disposal of platinum, gold, or silver bullion, including gold, silver, or numismatic coins. </w:t>
            </w:r>
            <w:r>
              <w:t xml:space="preserve">     </w:t>
            </w:r>
          </w:p>
          <w:p w:rsidR="008423E4" w:rsidRPr="00835628" w:rsidRDefault="007E286A" w:rsidP="006A32AF">
            <w:pPr>
              <w:rPr>
                <w:b/>
              </w:rPr>
            </w:pPr>
          </w:p>
        </w:tc>
      </w:tr>
      <w:tr w:rsidR="004A50C2" w:rsidTr="00345119">
        <w:tc>
          <w:tcPr>
            <w:tcW w:w="9576" w:type="dxa"/>
          </w:tcPr>
          <w:p w:rsidR="008423E4" w:rsidRPr="00A8133F" w:rsidRDefault="007E286A" w:rsidP="006A32A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286A" w:rsidP="006A32AF"/>
          <w:p w:rsidR="008423E4" w:rsidRPr="003624F2" w:rsidRDefault="007E286A" w:rsidP="006A32A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7E286A" w:rsidP="006A32AF">
            <w:pPr>
              <w:rPr>
                <w:b/>
              </w:rPr>
            </w:pPr>
          </w:p>
        </w:tc>
      </w:tr>
      <w:tr w:rsidR="004A50C2" w:rsidTr="00345119">
        <w:tc>
          <w:tcPr>
            <w:tcW w:w="9576" w:type="dxa"/>
          </w:tcPr>
          <w:p w:rsidR="005F6C2D" w:rsidRDefault="007E286A" w:rsidP="006A32A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A5D03" w:rsidRDefault="007E286A" w:rsidP="006A32AF">
            <w:pPr>
              <w:jc w:val="both"/>
            </w:pPr>
          </w:p>
          <w:p w:rsidR="004A5D03" w:rsidRDefault="007E286A" w:rsidP="006A32AF">
            <w:pPr>
              <w:jc w:val="both"/>
            </w:pPr>
            <w:r>
              <w:t xml:space="preserve">While C.S.H.B. 3413 may differ from </w:t>
            </w:r>
            <w:r>
              <w:t>the original in minor or nonsubstantive ways, the following summarizes the substantial differences between the introduced and committee substitute versions of the bill.</w:t>
            </w:r>
          </w:p>
          <w:p w:rsidR="004A5D03" w:rsidRDefault="007E286A" w:rsidP="006A32AF">
            <w:pPr>
              <w:jc w:val="both"/>
            </w:pPr>
          </w:p>
          <w:p w:rsidR="003403C9" w:rsidRPr="003403C9" w:rsidRDefault="007E286A" w:rsidP="006A32AF">
            <w:pPr>
              <w:jc w:val="both"/>
            </w:pPr>
            <w:r>
              <w:t xml:space="preserve">The substitute </w:t>
            </w:r>
            <w:r>
              <w:t xml:space="preserve">does not include in the definition of "bullion holder" a specification </w:t>
            </w:r>
            <w:r>
              <w:t xml:space="preserve">that the holder engages in the applicable bullion activity at the Texas Bullion Depository and </w:t>
            </w:r>
            <w:r>
              <w:t xml:space="preserve">does not include a definition </w:t>
            </w:r>
            <w:r>
              <w:t>for</w:t>
            </w:r>
            <w:r>
              <w:t xml:space="preserve"> "depository</w:t>
            </w:r>
            <w:r>
              <w:t>.</w:t>
            </w:r>
            <w:r>
              <w:t xml:space="preserve">" </w:t>
            </w:r>
          </w:p>
        </w:tc>
      </w:tr>
    </w:tbl>
    <w:p w:rsidR="006A32AF" w:rsidRPr="006A32AF" w:rsidRDefault="007E286A" w:rsidP="006A32AF">
      <w:pPr>
        <w:tabs>
          <w:tab w:val="left" w:pos="2595"/>
        </w:tabs>
        <w:rPr>
          <w:sz w:val="8"/>
        </w:rPr>
      </w:pPr>
    </w:p>
    <w:p w:rsidR="006A32AF" w:rsidRPr="006A32AF" w:rsidRDefault="007E286A" w:rsidP="006A32AF">
      <w:pPr>
        <w:rPr>
          <w:sz w:val="8"/>
        </w:rPr>
      </w:pPr>
    </w:p>
    <w:p w:rsidR="004108C3" w:rsidRPr="006A32AF" w:rsidRDefault="007E286A" w:rsidP="006A32AF">
      <w:pPr>
        <w:rPr>
          <w:sz w:val="8"/>
        </w:rPr>
      </w:pPr>
    </w:p>
    <w:sectPr w:rsidR="004108C3" w:rsidRPr="006A32A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286A">
      <w:r>
        <w:separator/>
      </w:r>
    </w:p>
  </w:endnote>
  <w:endnote w:type="continuationSeparator" w:id="0">
    <w:p w:rsidR="00000000" w:rsidRDefault="007E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8E" w:rsidRDefault="007E2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50C2" w:rsidTr="009C1E9A">
      <w:trPr>
        <w:cantSplit/>
      </w:trPr>
      <w:tc>
        <w:tcPr>
          <w:tcW w:w="0" w:type="pct"/>
        </w:tcPr>
        <w:p w:rsidR="00137D90" w:rsidRDefault="007E28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28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286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28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28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50C2" w:rsidTr="009C1E9A">
      <w:trPr>
        <w:cantSplit/>
      </w:trPr>
      <w:tc>
        <w:tcPr>
          <w:tcW w:w="0" w:type="pct"/>
        </w:tcPr>
        <w:p w:rsidR="00EC379B" w:rsidRDefault="007E286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286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30542</w:t>
          </w:r>
        </w:p>
      </w:tc>
      <w:tc>
        <w:tcPr>
          <w:tcW w:w="2453" w:type="pct"/>
        </w:tcPr>
        <w:p w:rsidR="00EC379B" w:rsidRDefault="007E28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19.119.1128</w:t>
          </w:r>
          <w:r>
            <w:fldChar w:fldCharType="end"/>
          </w:r>
        </w:p>
      </w:tc>
    </w:tr>
    <w:tr w:rsidR="004A50C2" w:rsidTr="009C1E9A">
      <w:trPr>
        <w:cantSplit/>
      </w:trPr>
      <w:tc>
        <w:tcPr>
          <w:tcW w:w="0" w:type="pct"/>
        </w:tcPr>
        <w:p w:rsidR="00EC379B" w:rsidRDefault="007E28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286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26243</w:t>
          </w:r>
        </w:p>
      </w:tc>
      <w:tc>
        <w:tcPr>
          <w:tcW w:w="2453" w:type="pct"/>
        </w:tcPr>
        <w:p w:rsidR="00EC379B" w:rsidRDefault="007E286A" w:rsidP="006D504F">
          <w:pPr>
            <w:pStyle w:val="Footer"/>
            <w:rPr>
              <w:rStyle w:val="PageNumber"/>
            </w:rPr>
          </w:pPr>
        </w:p>
        <w:p w:rsidR="00EC379B" w:rsidRDefault="007E286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50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286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286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286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8E" w:rsidRDefault="007E2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286A">
      <w:r>
        <w:separator/>
      </w:r>
    </w:p>
  </w:footnote>
  <w:footnote w:type="continuationSeparator" w:id="0">
    <w:p w:rsidR="00000000" w:rsidRDefault="007E2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8E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8E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08E" w:rsidRDefault="007E2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C2"/>
    <w:rsid w:val="004A50C2"/>
    <w:rsid w:val="007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EC8C06-28FC-48D1-B006-435119E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52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52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52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1980</Characters>
  <Application>Microsoft Office Word</Application>
  <DocSecurity>4</DocSecurity>
  <Lines>57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HB03413 (Committee Report (Substituted))</vt:lpstr>
    </vt:vector>
  </TitlesOfParts>
  <Company>State of Texas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30542</dc:subject>
  <dc:creator>State of Texas</dc:creator>
  <dc:description>HB 3413 by Capriglione-(H)Ways &amp; Means (Substitute Document Number: 86R 26243)</dc:description>
  <cp:lastModifiedBy>Stacey Nicchio</cp:lastModifiedBy>
  <cp:revision>2</cp:revision>
  <cp:lastPrinted>2003-11-26T17:21:00Z</cp:lastPrinted>
  <dcterms:created xsi:type="dcterms:W3CDTF">2019-05-02T16:22:00Z</dcterms:created>
  <dcterms:modified xsi:type="dcterms:W3CDTF">2019-05-02T16:22:00Z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19.119.1128</vt:lpwstr>
  </property>
</Properties>
</file>