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5893" w:rsidTr="00345119">
        <w:tc>
          <w:tcPr>
            <w:tcW w:w="9576" w:type="dxa"/>
            <w:noWrap/>
          </w:tcPr>
          <w:p w:rsidR="008423E4" w:rsidRPr="0022177D" w:rsidRDefault="00487E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7E8C" w:rsidP="008423E4">
      <w:pPr>
        <w:jc w:val="center"/>
      </w:pPr>
    </w:p>
    <w:p w:rsidR="008423E4" w:rsidRPr="00B31F0E" w:rsidRDefault="00487E8C" w:rsidP="008423E4"/>
    <w:p w:rsidR="008423E4" w:rsidRPr="00742794" w:rsidRDefault="00487E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5893" w:rsidTr="00345119">
        <w:tc>
          <w:tcPr>
            <w:tcW w:w="9576" w:type="dxa"/>
          </w:tcPr>
          <w:p w:rsidR="008423E4" w:rsidRPr="00861995" w:rsidRDefault="00487E8C" w:rsidP="00345119">
            <w:pPr>
              <w:jc w:val="right"/>
            </w:pPr>
            <w:r>
              <w:t>C.S.H.B. 3440</w:t>
            </w:r>
          </w:p>
        </w:tc>
      </w:tr>
      <w:tr w:rsidR="00F15893" w:rsidTr="00345119">
        <w:tc>
          <w:tcPr>
            <w:tcW w:w="9576" w:type="dxa"/>
          </w:tcPr>
          <w:p w:rsidR="008423E4" w:rsidRPr="00861995" w:rsidRDefault="00487E8C" w:rsidP="00AD47F6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F15893" w:rsidTr="00345119">
        <w:tc>
          <w:tcPr>
            <w:tcW w:w="9576" w:type="dxa"/>
          </w:tcPr>
          <w:p w:rsidR="008423E4" w:rsidRPr="00861995" w:rsidRDefault="00487E8C" w:rsidP="00345119">
            <w:pPr>
              <w:jc w:val="right"/>
            </w:pPr>
            <w:r>
              <w:t>County Affairs</w:t>
            </w:r>
          </w:p>
        </w:tc>
      </w:tr>
      <w:tr w:rsidR="00F15893" w:rsidTr="00345119">
        <w:tc>
          <w:tcPr>
            <w:tcW w:w="9576" w:type="dxa"/>
          </w:tcPr>
          <w:p w:rsidR="008423E4" w:rsidRDefault="00487E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87E8C" w:rsidP="008423E4">
      <w:pPr>
        <w:tabs>
          <w:tab w:val="right" w:pos="9360"/>
        </w:tabs>
      </w:pPr>
    </w:p>
    <w:p w:rsidR="008423E4" w:rsidRDefault="00487E8C" w:rsidP="008423E4"/>
    <w:p w:rsidR="008423E4" w:rsidRDefault="00487E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5893" w:rsidTr="00345119">
        <w:tc>
          <w:tcPr>
            <w:tcW w:w="9576" w:type="dxa"/>
          </w:tcPr>
          <w:p w:rsidR="008423E4" w:rsidRPr="00A8133F" w:rsidRDefault="00487E8C" w:rsidP="00CD57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7E8C" w:rsidP="00CD570F"/>
          <w:p w:rsidR="008423E4" w:rsidRDefault="00487E8C" w:rsidP="00CD570F">
            <w:pPr>
              <w:pStyle w:val="Header"/>
              <w:jc w:val="both"/>
            </w:pPr>
            <w:r>
              <w:t>It has been suggested that the process by which the Commission on Jail Standards (TCJS) collects data is outdated and inefficient</w:t>
            </w:r>
            <w:r>
              <w:t xml:space="preserve">. Because there is no </w:t>
            </w:r>
            <w:r>
              <w:t>format standardization</w:t>
            </w:r>
            <w:r>
              <w:t>, counties submit required monthly reports in a variety of formats ranging from PDFs to handwritten documents,</w:t>
            </w:r>
            <w:r>
              <w:t xml:space="preserve"> forcing TCJS employees to enter data into their system by hand. </w:t>
            </w:r>
            <w:r w:rsidRPr="005D0778">
              <w:t>C.S.</w:t>
            </w:r>
            <w:r>
              <w:t>H.B. 3440 seeks to promote effici</w:t>
            </w:r>
            <w:r>
              <w:t xml:space="preserve">ency by requiring TCJS to </w:t>
            </w:r>
            <w:r w:rsidRPr="00DB7007">
              <w:t>establish a system for the</w:t>
            </w:r>
            <w:r>
              <w:t xml:space="preserve"> electronic</w:t>
            </w:r>
            <w:r w:rsidRPr="00DB7007">
              <w:t xml:space="preserve"> submission of forms, data, and documents</w:t>
            </w:r>
            <w:r>
              <w:t>.</w:t>
            </w:r>
          </w:p>
          <w:p w:rsidR="008423E4" w:rsidRPr="00E26B13" w:rsidRDefault="00487E8C" w:rsidP="00CD570F">
            <w:pPr>
              <w:rPr>
                <w:b/>
              </w:rPr>
            </w:pPr>
          </w:p>
        </w:tc>
      </w:tr>
      <w:tr w:rsidR="00F15893" w:rsidTr="00345119">
        <w:tc>
          <w:tcPr>
            <w:tcW w:w="9576" w:type="dxa"/>
          </w:tcPr>
          <w:p w:rsidR="0017725B" w:rsidRDefault="00487E8C" w:rsidP="00CD5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7E8C" w:rsidP="00CD570F">
            <w:pPr>
              <w:rPr>
                <w:b/>
                <w:u w:val="single"/>
              </w:rPr>
            </w:pPr>
          </w:p>
          <w:p w:rsidR="00D1407E" w:rsidRPr="00D1407E" w:rsidRDefault="00487E8C" w:rsidP="00CD570F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487E8C" w:rsidP="00CD570F">
            <w:pPr>
              <w:rPr>
                <w:b/>
                <w:u w:val="single"/>
              </w:rPr>
            </w:pPr>
          </w:p>
        </w:tc>
      </w:tr>
      <w:tr w:rsidR="00F15893" w:rsidTr="00345119">
        <w:tc>
          <w:tcPr>
            <w:tcW w:w="9576" w:type="dxa"/>
          </w:tcPr>
          <w:p w:rsidR="008423E4" w:rsidRPr="00A8133F" w:rsidRDefault="00487E8C" w:rsidP="00CD57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7E8C" w:rsidP="00CD570F"/>
          <w:p w:rsidR="00D1407E" w:rsidRDefault="00487E8C" w:rsidP="00CD5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 Commission on Jail Standards in SECTION 1 of this bill.</w:t>
            </w:r>
          </w:p>
          <w:p w:rsidR="008423E4" w:rsidRPr="00E21FDC" w:rsidRDefault="00487E8C" w:rsidP="00CD570F">
            <w:pPr>
              <w:rPr>
                <w:b/>
              </w:rPr>
            </w:pPr>
          </w:p>
        </w:tc>
      </w:tr>
      <w:tr w:rsidR="00F15893" w:rsidTr="00345119">
        <w:tc>
          <w:tcPr>
            <w:tcW w:w="9576" w:type="dxa"/>
          </w:tcPr>
          <w:p w:rsidR="008423E4" w:rsidRPr="00A8133F" w:rsidRDefault="00487E8C" w:rsidP="00CD57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7E8C" w:rsidP="00CD570F"/>
          <w:p w:rsidR="008423E4" w:rsidRDefault="00487E8C" w:rsidP="00CD570F">
            <w:pPr>
              <w:pStyle w:val="Header"/>
              <w:jc w:val="both"/>
            </w:pPr>
            <w:r w:rsidRPr="005D0778">
              <w:t>C.S.</w:t>
            </w:r>
            <w:r>
              <w:t xml:space="preserve">H.B. 3440 amends the Government Code to require the Commission on Jail Standards (TCJS) to establish a system for the </w:t>
            </w:r>
            <w:r>
              <w:t xml:space="preserve">electronic </w:t>
            </w:r>
            <w:r>
              <w:t xml:space="preserve">submission of forms, data, and documents required </w:t>
            </w:r>
            <w:r>
              <w:t>to be submitted to TCJS</w:t>
            </w:r>
            <w:r>
              <w:t xml:space="preserve"> under applicable state law or a rule adopted under that law. The bill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a person</w:t>
            </w:r>
            <w:r>
              <w:t xml:space="preserve"> </w:t>
            </w:r>
            <w:r>
              <w:t xml:space="preserve">to submit </w:t>
            </w:r>
            <w:r>
              <w:t xml:space="preserve">all </w:t>
            </w:r>
            <w:r>
              <w:t xml:space="preserve">such </w:t>
            </w:r>
            <w:r>
              <w:t>forms, data, or documents through that system and in a standardized electronic format prescribed by TCJS</w:t>
            </w:r>
            <w:r>
              <w:t>, except that</w:t>
            </w:r>
            <w:r>
              <w:t xml:space="preserve"> </w:t>
            </w:r>
            <w:r>
              <w:t xml:space="preserve">TCJS </w:t>
            </w:r>
            <w:r>
              <w:t>ma</w:t>
            </w:r>
            <w:r>
              <w:t xml:space="preserve">y </w:t>
            </w:r>
            <w:r>
              <w:t>allow the submission in a nonelectronic format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requires </w:t>
            </w:r>
            <w:r>
              <w:t>TCJS</w:t>
            </w:r>
            <w:r>
              <w:t xml:space="preserve"> to set and collect a reasonable fee </w:t>
            </w:r>
            <w:r>
              <w:t xml:space="preserve">to cover the cost of </w:t>
            </w:r>
            <w:r>
              <w:t>processing</w:t>
            </w:r>
            <w:r>
              <w:t xml:space="preserve"> </w:t>
            </w:r>
            <w:r w:rsidRPr="009F355C">
              <w:t xml:space="preserve">nonelectronic </w:t>
            </w:r>
            <w:r>
              <w:t>submission</w:t>
            </w:r>
            <w:r>
              <w:t>s</w:t>
            </w:r>
            <w:r>
              <w:t>.</w:t>
            </w:r>
            <w:r>
              <w:t xml:space="preserve"> The bill authorizes TCJS to adopt rules as necessary to implement the bill's provisions.</w:t>
            </w:r>
          </w:p>
          <w:p w:rsidR="008423E4" w:rsidRPr="00835628" w:rsidRDefault="00487E8C" w:rsidP="00CD570F">
            <w:pPr>
              <w:rPr>
                <w:b/>
              </w:rPr>
            </w:pPr>
          </w:p>
        </w:tc>
      </w:tr>
      <w:tr w:rsidR="00F15893" w:rsidTr="00345119">
        <w:tc>
          <w:tcPr>
            <w:tcW w:w="9576" w:type="dxa"/>
          </w:tcPr>
          <w:p w:rsidR="008423E4" w:rsidRPr="00A8133F" w:rsidRDefault="00487E8C" w:rsidP="00CD57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7E8C" w:rsidP="00CD570F"/>
          <w:p w:rsidR="008423E4" w:rsidRPr="003624F2" w:rsidRDefault="00487E8C" w:rsidP="00CD5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>
              <w:t>19</w:t>
            </w:r>
            <w:r>
              <w:t>.</w:t>
            </w:r>
          </w:p>
          <w:p w:rsidR="008423E4" w:rsidRPr="00233FDB" w:rsidRDefault="00487E8C" w:rsidP="00CD570F">
            <w:pPr>
              <w:rPr>
                <w:b/>
              </w:rPr>
            </w:pPr>
          </w:p>
        </w:tc>
      </w:tr>
      <w:tr w:rsidR="00F15893" w:rsidTr="00345119">
        <w:tc>
          <w:tcPr>
            <w:tcW w:w="9576" w:type="dxa"/>
          </w:tcPr>
          <w:p w:rsidR="00AD47F6" w:rsidRDefault="00487E8C" w:rsidP="00CD57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947F3" w:rsidRDefault="00487E8C" w:rsidP="00CD570F">
            <w:pPr>
              <w:jc w:val="both"/>
            </w:pPr>
          </w:p>
          <w:p w:rsidR="002947F3" w:rsidRDefault="00487E8C" w:rsidP="00CD570F">
            <w:pPr>
              <w:jc w:val="both"/>
            </w:pPr>
            <w:r>
              <w:t>While C.S.H.B. 3440 may differ from the original in minor or nonsubstantive ways, the following summarizes the substantial differences between the introduced and committee subs</w:t>
            </w:r>
            <w:r>
              <w:t>titute versions of the bill.</w:t>
            </w:r>
          </w:p>
          <w:p w:rsidR="002947F3" w:rsidRDefault="00487E8C" w:rsidP="00CD570F">
            <w:pPr>
              <w:jc w:val="both"/>
            </w:pPr>
          </w:p>
          <w:p w:rsidR="002947F3" w:rsidRDefault="00487E8C" w:rsidP="00CD570F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 xml:space="preserve">requirement for TCJS to develop </w:t>
            </w:r>
            <w:r>
              <w:t xml:space="preserve">and establish </w:t>
            </w:r>
            <w:r>
              <w:t>the system for electronic submission</w:t>
            </w:r>
            <w:r>
              <w:t xml:space="preserve"> to a requirement </w:t>
            </w:r>
            <w:r>
              <w:t xml:space="preserve">only </w:t>
            </w:r>
            <w:r>
              <w:t>to establish that system.</w:t>
            </w:r>
          </w:p>
          <w:p w:rsidR="004F7B36" w:rsidRDefault="00487E8C" w:rsidP="00CD570F">
            <w:pPr>
              <w:jc w:val="both"/>
            </w:pPr>
          </w:p>
          <w:p w:rsidR="004F7B36" w:rsidRDefault="00487E8C" w:rsidP="00CD570F">
            <w:pPr>
              <w:jc w:val="both"/>
            </w:pPr>
            <w:r>
              <w:t xml:space="preserve">The substitute does not include a requirement for TCJS to require facilities under its purview to submit </w:t>
            </w:r>
            <w:r>
              <w:t xml:space="preserve">to </w:t>
            </w:r>
            <w:r>
              <w:t xml:space="preserve">TCJS electronically and in electronic format any required forms, data, or documents once the system is established. The substitute includes instead </w:t>
            </w:r>
            <w:r>
              <w:t>a requirement for a person to submit all such forms, data, or documents to TCJS through the system and in a standardized electronic form</w:t>
            </w:r>
            <w:r>
              <w:t>at</w:t>
            </w:r>
            <w:r>
              <w:t xml:space="preserve"> prescribed by TCJS.</w:t>
            </w:r>
          </w:p>
          <w:p w:rsidR="005D1F32" w:rsidRDefault="00487E8C" w:rsidP="00CD570F">
            <w:pPr>
              <w:jc w:val="both"/>
            </w:pPr>
          </w:p>
          <w:p w:rsidR="005D1F32" w:rsidRDefault="00487E8C" w:rsidP="00CD570F">
            <w:pPr>
              <w:jc w:val="both"/>
            </w:pPr>
            <w:r>
              <w:t xml:space="preserve">The substitute specifies that </w:t>
            </w:r>
            <w:r>
              <w:t>the</w:t>
            </w:r>
            <w:r>
              <w:t xml:space="preserve"> fee for processing nonelectronic forms, data, and documents is</w:t>
            </w:r>
            <w:r>
              <w:t xml:space="preserve"> to cover the cost o</w:t>
            </w:r>
            <w:r>
              <w:t>f processing those forms, data, and documents.</w:t>
            </w:r>
          </w:p>
          <w:p w:rsidR="002947F3" w:rsidRDefault="00487E8C" w:rsidP="00CD570F">
            <w:pPr>
              <w:jc w:val="both"/>
            </w:pPr>
          </w:p>
          <w:p w:rsidR="002947F3" w:rsidRPr="002947F3" w:rsidRDefault="00487E8C" w:rsidP="00CD570F">
            <w:pPr>
              <w:jc w:val="both"/>
            </w:pPr>
            <w:r>
              <w:t>The substitute changes the bill's effective date from September 1, 20</w:t>
            </w:r>
            <w:r>
              <w:t>20</w:t>
            </w:r>
            <w:r>
              <w:t>, to September 1, 20</w:t>
            </w:r>
            <w:r>
              <w:t>19</w:t>
            </w:r>
            <w:r>
              <w:t>.</w:t>
            </w:r>
          </w:p>
          <w:p w:rsidR="002947F3" w:rsidRDefault="00487E8C" w:rsidP="00CD570F">
            <w:pPr>
              <w:jc w:val="both"/>
              <w:rPr>
                <w:b/>
                <w:u w:val="single"/>
              </w:rPr>
            </w:pPr>
          </w:p>
          <w:p w:rsidR="00AD47F6" w:rsidRPr="00AD47F6" w:rsidRDefault="00487E8C" w:rsidP="00CD570F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487E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7E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E8C">
      <w:r>
        <w:separator/>
      </w:r>
    </w:p>
  </w:endnote>
  <w:endnote w:type="continuationSeparator" w:id="0">
    <w:p w:rsidR="00000000" w:rsidRDefault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5893" w:rsidTr="009C1E9A">
      <w:trPr>
        <w:cantSplit/>
      </w:trPr>
      <w:tc>
        <w:tcPr>
          <w:tcW w:w="0" w:type="pct"/>
        </w:tcPr>
        <w:p w:rsidR="00137D90" w:rsidRDefault="00487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7E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7E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7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7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5893" w:rsidTr="009C1E9A">
      <w:trPr>
        <w:cantSplit/>
      </w:trPr>
      <w:tc>
        <w:tcPr>
          <w:tcW w:w="0" w:type="pct"/>
        </w:tcPr>
        <w:p w:rsidR="00EC379B" w:rsidRDefault="00487E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7E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28408</w:t>
          </w:r>
        </w:p>
      </w:tc>
      <w:tc>
        <w:tcPr>
          <w:tcW w:w="2453" w:type="pct"/>
        </w:tcPr>
        <w:p w:rsidR="00EC379B" w:rsidRDefault="00487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19.108.1032</w:t>
          </w:r>
          <w:r>
            <w:fldChar w:fldCharType="end"/>
          </w:r>
        </w:p>
      </w:tc>
    </w:tr>
    <w:tr w:rsidR="00F15893" w:rsidTr="009C1E9A">
      <w:trPr>
        <w:cantSplit/>
      </w:trPr>
      <w:tc>
        <w:tcPr>
          <w:tcW w:w="0" w:type="pct"/>
        </w:tcPr>
        <w:p w:rsidR="00EC379B" w:rsidRDefault="00487E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7E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20232</w:t>
          </w:r>
        </w:p>
      </w:tc>
      <w:tc>
        <w:tcPr>
          <w:tcW w:w="2453" w:type="pct"/>
        </w:tcPr>
        <w:p w:rsidR="00EC379B" w:rsidRDefault="00487E8C" w:rsidP="006D504F">
          <w:pPr>
            <w:pStyle w:val="Footer"/>
            <w:rPr>
              <w:rStyle w:val="PageNumber"/>
            </w:rPr>
          </w:pPr>
        </w:p>
        <w:p w:rsidR="00EC379B" w:rsidRDefault="00487E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58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7E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87E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7E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7E8C">
      <w:r>
        <w:separator/>
      </w:r>
    </w:p>
  </w:footnote>
  <w:footnote w:type="continuationSeparator" w:id="0">
    <w:p w:rsidR="00000000" w:rsidRDefault="0048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7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16E"/>
    <w:multiLevelType w:val="hybridMultilevel"/>
    <w:tmpl w:val="25A44BAA"/>
    <w:lvl w:ilvl="0" w:tplc="D294F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2A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CF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8A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6C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6F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E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B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8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3"/>
    <w:rsid w:val="00487E8C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A2F8B1-1781-40BB-BCF8-0FBDEE0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4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4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0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07E"/>
    <w:rPr>
      <w:b/>
      <w:bCs/>
    </w:rPr>
  </w:style>
  <w:style w:type="paragraph" w:styleId="Revision">
    <w:name w:val="Revision"/>
    <w:hidden/>
    <w:uiPriority w:val="99"/>
    <w:semiHidden/>
    <w:rsid w:val="00F62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2432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HB03440 (Committee Report (Substituted))</vt:lpstr>
    </vt:vector>
  </TitlesOfParts>
  <Company>State of Texas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28408</dc:subject>
  <dc:creator>State of Texas</dc:creator>
  <dc:description>HB 3440 by Capriglione-(H)County Affairs (Substitute Document Number: 86R 20232)</dc:description>
  <cp:lastModifiedBy>Scotty Wimberley</cp:lastModifiedBy>
  <cp:revision>2</cp:revision>
  <cp:lastPrinted>2003-11-26T17:21:00Z</cp:lastPrinted>
  <dcterms:created xsi:type="dcterms:W3CDTF">2019-04-22T21:24:00Z</dcterms:created>
  <dcterms:modified xsi:type="dcterms:W3CDTF">2019-04-22T21:24:00Z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19.108.1032</vt:lpwstr>
  </property>
</Properties>
</file>