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6365" w:rsidTr="00345119">
        <w:tc>
          <w:tcPr>
            <w:tcW w:w="9576" w:type="dxa"/>
            <w:noWrap/>
          </w:tcPr>
          <w:p w:rsidR="008423E4" w:rsidRPr="0022177D" w:rsidRDefault="008C2CE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C2CE1" w:rsidP="008423E4">
      <w:pPr>
        <w:jc w:val="center"/>
      </w:pPr>
    </w:p>
    <w:p w:rsidR="008423E4" w:rsidRPr="00B31F0E" w:rsidRDefault="008C2CE1" w:rsidP="008423E4"/>
    <w:p w:rsidR="008423E4" w:rsidRPr="00742794" w:rsidRDefault="008C2CE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6365" w:rsidTr="00345119">
        <w:tc>
          <w:tcPr>
            <w:tcW w:w="9576" w:type="dxa"/>
          </w:tcPr>
          <w:p w:rsidR="008423E4" w:rsidRPr="00861995" w:rsidRDefault="008C2CE1" w:rsidP="00345119">
            <w:pPr>
              <w:jc w:val="right"/>
            </w:pPr>
            <w:r>
              <w:t>C.S.H.B. 3457</w:t>
            </w:r>
          </w:p>
        </w:tc>
      </w:tr>
      <w:tr w:rsidR="00376365" w:rsidTr="00345119">
        <w:tc>
          <w:tcPr>
            <w:tcW w:w="9576" w:type="dxa"/>
          </w:tcPr>
          <w:p w:rsidR="008423E4" w:rsidRPr="00861995" w:rsidRDefault="008C2CE1" w:rsidP="001F49B2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376365" w:rsidTr="00345119">
        <w:tc>
          <w:tcPr>
            <w:tcW w:w="9576" w:type="dxa"/>
          </w:tcPr>
          <w:p w:rsidR="008423E4" w:rsidRPr="00861995" w:rsidRDefault="008C2CE1" w:rsidP="00345119">
            <w:pPr>
              <w:jc w:val="right"/>
            </w:pPr>
            <w:r>
              <w:t>State Affairs</w:t>
            </w:r>
          </w:p>
        </w:tc>
      </w:tr>
      <w:tr w:rsidR="00376365" w:rsidTr="00345119">
        <w:tc>
          <w:tcPr>
            <w:tcW w:w="9576" w:type="dxa"/>
          </w:tcPr>
          <w:p w:rsidR="008423E4" w:rsidRDefault="008C2CE1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C2CE1" w:rsidP="008423E4">
      <w:pPr>
        <w:tabs>
          <w:tab w:val="right" w:pos="9360"/>
        </w:tabs>
      </w:pPr>
    </w:p>
    <w:p w:rsidR="008423E4" w:rsidRDefault="008C2CE1" w:rsidP="008423E4"/>
    <w:p w:rsidR="008423E4" w:rsidRDefault="008C2CE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6365" w:rsidTr="00345119">
        <w:tc>
          <w:tcPr>
            <w:tcW w:w="9576" w:type="dxa"/>
          </w:tcPr>
          <w:p w:rsidR="008423E4" w:rsidRPr="00A8133F" w:rsidRDefault="008C2CE1" w:rsidP="004F75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C2CE1" w:rsidP="004F75DF"/>
          <w:p w:rsidR="008423E4" w:rsidRDefault="008C2CE1" w:rsidP="004F75DF">
            <w:pPr>
              <w:pStyle w:val="Header"/>
              <w:jc w:val="both"/>
            </w:pPr>
            <w:r>
              <w:t>It has been noted that</w:t>
            </w:r>
            <w:r>
              <w:t>,</w:t>
            </w:r>
            <w:r>
              <w:t xml:space="preserve"> to recover costs and attorney fees from a governmental body in certain lawsuits brought under state public information law</w:t>
            </w:r>
            <w:r>
              <w:t>,</w:t>
            </w:r>
            <w:r>
              <w:t xml:space="preserve"> the requestor must substantially prevail on the issue in court. It has been suggested that this requirement fails to account for ca</w:t>
            </w:r>
            <w:r>
              <w:t xml:space="preserve">ses in which a governmental entity may unilaterally decide to release information it had previously withheld prior to a court reaching the merits of the case.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3457 </w:t>
            </w:r>
            <w:r>
              <w:t xml:space="preserve">seeks to </w:t>
            </w:r>
            <w:r>
              <w:t xml:space="preserve">address this issue by </w:t>
            </w:r>
            <w:r>
              <w:t>establishing the circumstances under which a plainti</w:t>
            </w:r>
            <w:r>
              <w:t>ff substantially prevail</w:t>
            </w:r>
            <w:r>
              <w:t>s</w:t>
            </w:r>
            <w:r>
              <w:t xml:space="preserve"> in such a </w:t>
            </w:r>
            <w:r>
              <w:t>lawsuit</w:t>
            </w:r>
            <w:r>
              <w:t>.</w:t>
            </w:r>
          </w:p>
          <w:p w:rsidR="008423E4" w:rsidRPr="00E26B13" w:rsidRDefault="008C2CE1" w:rsidP="004F75DF">
            <w:pPr>
              <w:rPr>
                <w:b/>
              </w:rPr>
            </w:pPr>
          </w:p>
        </w:tc>
      </w:tr>
      <w:tr w:rsidR="00376365" w:rsidTr="00345119">
        <w:tc>
          <w:tcPr>
            <w:tcW w:w="9576" w:type="dxa"/>
          </w:tcPr>
          <w:p w:rsidR="0017725B" w:rsidRDefault="008C2CE1" w:rsidP="004F75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C2CE1" w:rsidP="004F75DF">
            <w:pPr>
              <w:rPr>
                <w:b/>
                <w:u w:val="single"/>
              </w:rPr>
            </w:pPr>
          </w:p>
          <w:p w:rsidR="008007E1" w:rsidRPr="008007E1" w:rsidRDefault="008C2CE1" w:rsidP="004F75D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</w:t>
            </w:r>
            <w:r>
              <w:t>he eligibility of a person for community supervision, parole, or mandatory supervision.</w:t>
            </w:r>
          </w:p>
          <w:p w:rsidR="0017725B" w:rsidRPr="0017725B" w:rsidRDefault="008C2CE1" w:rsidP="004F75DF">
            <w:pPr>
              <w:rPr>
                <w:b/>
                <w:u w:val="single"/>
              </w:rPr>
            </w:pPr>
          </w:p>
        </w:tc>
      </w:tr>
      <w:tr w:rsidR="00376365" w:rsidTr="00345119">
        <w:tc>
          <w:tcPr>
            <w:tcW w:w="9576" w:type="dxa"/>
          </w:tcPr>
          <w:p w:rsidR="008423E4" w:rsidRPr="00A8133F" w:rsidRDefault="008C2CE1" w:rsidP="004F75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C2CE1" w:rsidP="004F75DF"/>
          <w:p w:rsidR="008007E1" w:rsidRDefault="008C2CE1" w:rsidP="004F75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8C2CE1" w:rsidP="004F75DF">
            <w:pPr>
              <w:rPr>
                <w:b/>
              </w:rPr>
            </w:pPr>
          </w:p>
        </w:tc>
      </w:tr>
      <w:tr w:rsidR="00376365" w:rsidTr="00345119">
        <w:tc>
          <w:tcPr>
            <w:tcW w:w="9576" w:type="dxa"/>
          </w:tcPr>
          <w:p w:rsidR="008423E4" w:rsidRPr="00A8133F" w:rsidRDefault="008C2CE1" w:rsidP="004F75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C2CE1" w:rsidP="004F75DF"/>
          <w:p w:rsidR="001E7A04" w:rsidRDefault="008C2CE1" w:rsidP="004F75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3457 amends the Government Code to </w:t>
            </w:r>
            <w:r>
              <w:t xml:space="preserve">establish </w:t>
            </w:r>
            <w:r>
              <w:t xml:space="preserve">that, </w:t>
            </w:r>
            <w:r>
              <w:t xml:space="preserve">for the purposes of </w:t>
            </w:r>
            <w:r>
              <w:t>assessing</w:t>
            </w:r>
            <w:r w:rsidRPr="005D615D">
              <w:t xml:space="preserve"> </w:t>
            </w:r>
            <w:r>
              <w:t>the</w:t>
            </w:r>
            <w:r w:rsidRPr="005D615D">
              <w:t xml:space="preserve"> </w:t>
            </w:r>
            <w:r w:rsidRPr="005D615D">
              <w:t>costs of litigation and reasonable attorney fees</w:t>
            </w:r>
            <w:r>
              <w:t xml:space="preserve"> </w:t>
            </w:r>
            <w:r>
              <w:t xml:space="preserve">in certain lawsuits brought under state public information law, </w:t>
            </w:r>
            <w:r w:rsidRPr="005D615D">
              <w:t xml:space="preserve">a plaintiff </w:t>
            </w:r>
            <w:r w:rsidRPr="005D615D">
              <w:t>substantially prevail</w:t>
            </w:r>
            <w:r>
              <w:t>s</w:t>
            </w:r>
            <w:r w:rsidRPr="005D615D">
              <w:t xml:space="preserve"> if the plaintiff obtain</w:t>
            </w:r>
            <w:r>
              <w:t>s</w:t>
            </w:r>
            <w:r w:rsidRPr="005D615D">
              <w:t xml:space="preserve"> relief through</w:t>
            </w:r>
            <w:r>
              <w:t>:</w:t>
            </w:r>
            <w:r w:rsidRPr="005D615D">
              <w:t xml:space="preserve"> </w:t>
            </w:r>
          </w:p>
          <w:p w:rsidR="00052169" w:rsidRDefault="008C2CE1" w:rsidP="004F75D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5D615D">
              <w:t>a judicial order</w:t>
            </w:r>
            <w:r>
              <w:t>;</w:t>
            </w:r>
          </w:p>
          <w:p w:rsidR="001E7A04" w:rsidRDefault="008C2CE1" w:rsidP="004F75D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5D615D">
              <w:t>an enforceable written agreement or consent decree</w:t>
            </w:r>
            <w:r>
              <w:t>; or</w:t>
            </w:r>
          </w:p>
          <w:p w:rsidR="008423E4" w:rsidRDefault="008C2CE1" w:rsidP="0033501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5D615D">
              <w:t>a voluntary or unilateral change in position by the governmental body.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8C2CE1" w:rsidP="004F75DF">
            <w:pPr>
              <w:rPr>
                <w:b/>
              </w:rPr>
            </w:pPr>
          </w:p>
        </w:tc>
      </w:tr>
      <w:tr w:rsidR="00376365" w:rsidTr="00345119">
        <w:tc>
          <w:tcPr>
            <w:tcW w:w="9576" w:type="dxa"/>
          </w:tcPr>
          <w:p w:rsidR="008423E4" w:rsidRPr="00A8133F" w:rsidRDefault="008C2CE1" w:rsidP="004F75D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C2CE1" w:rsidP="004F75DF"/>
          <w:p w:rsidR="008423E4" w:rsidRPr="003624F2" w:rsidRDefault="008C2CE1" w:rsidP="004F75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C2CE1" w:rsidP="004F75DF">
            <w:pPr>
              <w:rPr>
                <w:b/>
              </w:rPr>
            </w:pPr>
          </w:p>
        </w:tc>
      </w:tr>
      <w:tr w:rsidR="00376365" w:rsidTr="00345119">
        <w:tc>
          <w:tcPr>
            <w:tcW w:w="9576" w:type="dxa"/>
          </w:tcPr>
          <w:p w:rsidR="001F49B2" w:rsidRDefault="008C2CE1" w:rsidP="004F75D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22FA6" w:rsidRDefault="008C2CE1" w:rsidP="004F75DF">
            <w:pPr>
              <w:jc w:val="both"/>
            </w:pPr>
          </w:p>
          <w:p w:rsidR="00622FA6" w:rsidRDefault="008C2CE1" w:rsidP="004F75DF">
            <w:pPr>
              <w:jc w:val="both"/>
            </w:pPr>
            <w:r>
              <w:t>While C.S.H.B. 3457 may differ from the original in minor or nonsubstantive ways, the following summarizes the substantial differences between the introduced and committee substitute versions of the bill.</w:t>
            </w:r>
          </w:p>
          <w:p w:rsidR="00622FA6" w:rsidRDefault="008C2CE1" w:rsidP="004F75DF">
            <w:pPr>
              <w:jc w:val="both"/>
            </w:pPr>
          </w:p>
          <w:p w:rsidR="00622FA6" w:rsidRDefault="008C2CE1" w:rsidP="004F75DF">
            <w:pPr>
              <w:jc w:val="both"/>
            </w:pPr>
            <w:r>
              <w:t>The substit</w:t>
            </w:r>
            <w:r>
              <w:t xml:space="preserve">ute does not subject a </w:t>
            </w:r>
            <w:r w:rsidRPr="00622FA6">
              <w:t xml:space="preserve">requestor who intervenes in a suit brought by a governmental body and </w:t>
            </w:r>
            <w:r>
              <w:t>seeks a writ of mandamus to the</w:t>
            </w:r>
            <w:r w:rsidRPr="00622FA6">
              <w:t xml:space="preserve"> established standard for recovery of fees</w:t>
            </w:r>
            <w:r>
              <w:t>.</w:t>
            </w:r>
          </w:p>
          <w:p w:rsidR="0068420A" w:rsidRPr="00622FA6" w:rsidRDefault="008C2CE1" w:rsidP="004F75DF">
            <w:pPr>
              <w:jc w:val="both"/>
            </w:pPr>
          </w:p>
        </w:tc>
      </w:tr>
      <w:tr w:rsidR="00376365" w:rsidTr="00345119">
        <w:tc>
          <w:tcPr>
            <w:tcW w:w="9576" w:type="dxa"/>
          </w:tcPr>
          <w:p w:rsidR="001F49B2" w:rsidRPr="009C1E9A" w:rsidRDefault="008C2CE1" w:rsidP="004F75DF">
            <w:pPr>
              <w:rPr>
                <w:b/>
                <w:u w:val="single"/>
              </w:rPr>
            </w:pPr>
          </w:p>
        </w:tc>
      </w:tr>
      <w:tr w:rsidR="00376365" w:rsidTr="00345119">
        <w:tc>
          <w:tcPr>
            <w:tcW w:w="9576" w:type="dxa"/>
          </w:tcPr>
          <w:p w:rsidR="001F49B2" w:rsidRPr="001F49B2" w:rsidRDefault="008C2CE1" w:rsidP="004F75DF">
            <w:pPr>
              <w:jc w:val="both"/>
            </w:pPr>
          </w:p>
        </w:tc>
      </w:tr>
    </w:tbl>
    <w:p w:rsidR="008423E4" w:rsidRPr="004F75DF" w:rsidRDefault="008C2CE1" w:rsidP="008423E4">
      <w:pPr>
        <w:spacing w:line="480" w:lineRule="auto"/>
        <w:jc w:val="both"/>
        <w:rPr>
          <w:rFonts w:ascii="Arial" w:hAnsi="Arial"/>
          <w:sz w:val="4"/>
          <w:szCs w:val="16"/>
        </w:rPr>
      </w:pPr>
    </w:p>
    <w:p w:rsidR="004108C3" w:rsidRPr="004F75DF" w:rsidRDefault="008C2CE1" w:rsidP="008423E4">
      <w:pPr>
        <w:rPr>
          <w:sz w:val="4"/>
        </w:rPr>
      </w:pPr>
    </w:p>
    <w:sectPr w:rsidR="004108C3" w:rsidRPr="004F75DF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2CE1">
      <w:r>
        <w:separator/>
      </w:r>
    </w:p>
  </w:endnote>
  <w:endnote w:type="continuationSeparator" w:id="0">
    <w:p w:rsidR="00000000" w:rsidRDefault="008C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B0" w:rsidRDefault="008C2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6365" w:rsidTr="009C1E9A">
      <w:trPr>
        <w:cantSplit/>
      </w:trPr>
      <w:tc>
        <w:tcPr>
          <w:tcW w:w="0" w:type="pct"/>
        </w:tcPr>
        <w:p w:rsidR="00137D90" w:rsidRDefault="008C2C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C2CE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Pr="004F75DF" w:rsidRDefault="008C2CE1" w:rsidP="009C1E9A">
          <w:pPr>
            <w:pStyle w:val="Footer"/>
            <w:tabs>
              <w:tab w:val="clear" w:pos="8640"/>
              <w:tab w:val="right" w:pos="9360"/>
            </w:tabs>
            <w:rPr>
              <w:sz w:val="12"/>
            </w:rPr>
          </w:pPr>
        </w:p>
        <w:p w:rsidR="00137D90" w:rsidRDefault="008C2C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C2C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6365" w:rsidTr="009C1E9A">
      <w:trPr>
        <w:cantSplit/>
      </w:trPr>
      <w:tc>
        <w:tcPr>
          <w:tcW w:w="0" w:type="pct"/>
        </w:tcPr>
        <w:p w:rsidR="00EC379B" w:rsidRDefault="008C2CE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C2CE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28051</w:t>
          </w:r>
        </w:p>
      </w:tc>
      <w:tc>
        <w:tcPr>
          <w:tcW w:w="2453" w:type="pct"/>
        </w:tcPr>
        <w:p w:rsidR="00EC379B" w:rsidRDefault="008C2C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19.107.1493</w:t>
          </w:r>
          <w:r>
            <w:fldChar w:fldCharType="end"/>
          </w:r>
        </w:p>
      </w:tc>
    </w:tr>
    <w:tr w:rsidR="00376365" w:rsidTr="009C1E9A">
      <w:trPr>
        <w:cantSplit/>
      </w:trPr>
      <w:tc>
        <w:tcPr>
          <w:tcW w:w="0" w:type="pct"/>
        </w:tcPr>
        <w:p w:rsidR="00EC379B" w:rsidRDefault="008C2C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C2CE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23021</w:t>
          </w:r>
        </w:p>
      </w:tc>
      <w:tc>
        <w:tcPr>
          <w:tcW w:w="2453" w:type="pct"/>
        </w:tcPr>
        <w:p w:rsidR="00EC379B" w:rsidRDefault="008C2CE1" w:rsidP="006D504F">
          <w:pPr>
            <w:pStyle w:val="Footer"/>
            <w:rPr>
              <w:rStyle w:val="PageNumber"/>
            </w:rPr>
          </w:pPr>
        </w:p>
        <w:p w:rsidR="00EC379B" w:rsidRDefault="008C2CE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63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C2CE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C2CE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C2CE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B0" w:rsidRDefault="008C2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2CE1">
      <w:r>
        <w:separator/>
      </w:r>
    </w:p>
  </w:footnote>
  <w:footnote w:type="continuationSeparator" w:id="0">
    <w:p w:rsidR="00000000" w:rsidRDefault="008C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B0" w:rsidRDefault="008C2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B0" w:rsidRDefault="008C2C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B0" w:rsidRDefault="008C2C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5B35"/>
    <w:multiLevelType w:val="hybridMultilevel"/>
    <w:tmpl w:val="A14A33D6"/>
    <w:lvl w:ilvl="0" w:tplc="0B4CA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2E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8A7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21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4E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BAD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C46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6E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6B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5"/>
    <w:rsid w:val="00376365"/>
    <w:rsid w:val="008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BAF43C-438A-4748-8C01-5679EE7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61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6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615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6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6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1752</Characters>
  <Application>Microsoft Office Word</Application>
  <DocSecurity>4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HB03457 (Committee Report (Substituted))</vt:lpstr>
    </vt:vector>
  </TitlesOfParts>
  <Company>State of Texas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28051</dc:subject>
  <dc:creator>State of Texas</dc:creator>
  <dc:description>HB 3457 by Smithee-(H)State Affairs (Substitute Document Number: 86R 23021)</dc:description>
  <cp:lastModifiedBy>Stacey Nicchio</cp:lastModifiedBy>
  <cp:revision>2</cp:revision>
  <cp:lastPrinted>2003-11-26T17:21:00Z</cp:lastPrinted>
  <dcterms:created xsi:type="dcterms:W3CDTF">2019-04-23T22:04:00Z</dcterms:created>
  <dcterms:modified xsi:type="dcterms:W3CDTF">2019-04-23T22:04:00Z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19.107.1493</vt:lpwstr>
  </property>
</Properties>
</file>