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90F89" w:rsidTr="00345119">
        <w:tc>
          <w:tcPr>
            <w:tcW w:w="9576" w:type="dxa"/>
            <w:noWrap/>
          </w:tcPr>
          <w:p w:rsidR="008423E4" w:rsidRPr="0022177D" w:rsidRDefault="00C7131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C7131A" w:rsidP="008423E4">
      <w:pPr>
        <w:jc w:val="center"/>
      </w:pPr>
    </w:p>
    <w:p w:rsidR="008423E4" w:rsidRPr="00B31F0E" w:rsidRDefault="00C7131A" w:rsidP="008423E4"/>
    <w:p w:rsidR="008423E4" w:rsidRPr="00742794" w:rsidRDefault="00C7131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90F89" w:rsidTr="00345119">
        <w:tc>
          <w:tcPr>
            <w:tcW w:w="9576" w:type="dxa"/>
          </w:tcPr>
          <w:p w:rsidR="008423E4" w:rsidRPr="00861995" w:rsidRDefault="00C7131A" w:rsidP="00345119">
            <w:pPr>
              <w:jc w:val="right"/>
            </w:pPr>
            <w:r>
              <w:t>C.S.H.B. 3528</w:t>
            </w:r>
          </w:p>
        </w:tc>
      </w:tr>
      <w:tr w:rsidR="00090F89" w:rsidTr="00345119">
        <w:tc>
          <w:tcPr>
            <w:tcW w:w="9576" w:type="dxa"/>
          </w:tcPr>
          <w:p w:rsidR="008423E4" w:rsidRPr="00861995" w:rsidRDefault="00C7131A" w:rsidP="005571A5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090F89" w:rsidTr="00345119">
        <w:tc>
          <w:tcPr>
            <w:tcW w:w="9576" w:type="dxa"/>
          </w:tcPr>
          <w:p w:rsidR="008423E4" w:rsidRPr="00861995" w:rsidRDefault="00C7131A" w:rsidP="00345119">
            <w:pPr>
              <w:jc w:val="right"/>
            </w:pPr>
            <w:r>
              <w:t>Business &amp; Industry</w:t>
            </w:r>
          </w:p>
        </w:tc>
      </w:tr>
      <w:tr w:rsidR="00090F89" w:rsidTr="00345119">
        <w:tc>
          <w:tcPr>
            <w:tcW w:w="9576" w:type="dxa"/>
          </w:tcPr>
          <w:p w:rsidR="008423E4" w:rsidRDefault="00C7131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C7131A" w:rsidP="008423E4">
      <w:pPr>
        <w:tabs>
          <w:tab w:val="right" w:pos="9360"/>
        </w:tabs>
      </w:pPr>
    </w:p>
    <w:p w:rsidR="008423E4" w:rsidRDefault="00C7131A" w:rsidP="008423E4"/>
    <w:p w:rsidR="008423E4" w:rsidRDefault="00C7131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90F89" w:rsidTr="00345119">
        <w:tc>
          <w:tcPr>
            <w:tcW w:w="9576" w:type="dxa"/>
          </w:tcPr>
          <w:p w:rsidR="008423E4" w:rsidRPr="00A8133F" w:rsidRDefault="00C7131A" w:rsidP="006A1DF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C7131A" w:rsidP="006A1DF4"/>
          <w:p w:rsidR="008423E4" w:rsidRDefault="00C7131A" w:rsidP="006A1D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</w:t>
            </w:r>
            <w:r w:rsidRPr="00277863">
              <w:t xml:space="preserve"> that third-party ticketing vendors sometimes use deceptive </w:t>
            </w:r>
            <w:r>
              <w:t>Internet</w:t>
            </w:r>
            <w:r w:rsidRPr="00277863">
              <w:t xml:space="preserve"> </w:t>
            </w:r>
            <w:r w:rsidRPr="00277863">
              <w:t xml:space="preserve">domain names that mislead </w:t>
            </w:r>
            <w:r>
              <w:t>customers</w:t>
            </w:r>
            <w:r w:rsidRPr="00277863">
              <w:t xml:space="preserve"> </w:t>
            </w:r>
            <w:r w:rsidRPr="00277863">
              <w:t xml:space="preserve">into believing that tickets being resold are being offered directly from the event venue or the </w:t>
            </w:r>
            <w:r>
              <w:t>performer</w:t>
            </w:r>
            <w:r w:rsidRPr="00277863">
              <w:t xml:space="preserve"> at official retail price. </w:t>
            </w:r>
            <w:r>
              <w:t>C.S.</w:t>
            </w:r>
            <w:r w:rsidRPr="00277863">
              <w:t xml:space="preserve">H.B. 3528 </w:t>
            </w:r>
            <w:r>
              <w:t>seeks to</w:t>
            </w:r>
            <w:r w:rsidRPr="00277863">
              <w:t xml:space="preserve"> address this issue by prohibiting </w:t>
            </w:r>
            <w:r>
              <w:t xml:space="preserve">such </w:t>
            </w:r>
            <w:r w:rsidRPr="00277863">
              <w:t>a website operator from intentionally using a domain name that</w:t>
            </w:r>
            <w:r w:rsidRPr="00277863">
              <w:t xml:space="preserve"> contains the name of the applicable</w:t>
            </w:r>
            <w:r>
              <w:t xml:space="preserve"> entity</w:t>
            </w:r>
            <w:r w:rsidRPr="00277863">
              <w:t>.</w:t>
            </w:r>
          </w:p>
          <w:p w:rsidR="008423E4" w:rsidRPr="00E26B13" w:rsidRDefault="00C7131A" w:rsidP="006A1DF4">
            <w:pPr>
              <w:rPr>
                <w:b/>
              </w:rPr>
            </w:pPr>
          </w:p>
        </w:tc>
      </w:tr>
      <w:tr w:rsidR="00090F89" w:rsidTr="00345119">
        <w:tc>
          <w:tcPr>
            <w:tcW w:w="9576" w:type="dxa"/>
          </w:tcPr>
          <w:p w:rsidR="0017725B" w:rsidRDefault="00C7131A" w:rsidP="006A1DF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C7131A" w:rsidP="006A1DF4">
            <w:pPr>
              <w:rPr>
                <w:b/>
                <w:u w:val="single"/>
              </w:rPr>
            </w:pPr>
          </w:p>
          <w:p w:rsidR="00037471" w:rsidRPr="00037471" w:rsidRDefault="00C7131A" w:rsidP="006A1DF4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</w:t>
            </w:r>
            <w:r>
              <w:t>he eligibility of a person for community supervision, parole, or mandatory supervision.</w:t>
            </w:r>
          </w:p>
          <w:p w:rsidR="0017725B" w:rsidRPr="0017725B" w:rsidRDefault="00C7131A" w:rsidP="006A1DF4">
            <w:pPr>
              <w:rPr>
                <w:b/>
                <w:u w:val="single"/>
              </w:rPr>
            </w:pPr>
          </w:p>
        </w:tc>
      </w:tr>
      <w:tr w:rsidR="00090F89" w:rsidTr="00345119">
        <w:tc>
          <w:tcPr>
            <w:tcW w:w="9576" w:type="dxa"/>
          </w:tcPr>
          <w:p w:rsidR="008423E4" w:rsidRPr="00A8133F" w:rsidRDefault="00C7131A" w:rsidP="006A1DF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C7131A" w:rsidP="006A1DF4"/>
          <w:p w:rsidR="00037471" w:rsidRDefault="00C7131A" w:rsidP="006A1D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:rsidR="008423E4" w:rsidRPr="00E21FDC" w:rsidRDefault="00C7131A" w:rsidP="006A1DF4">
            <w:pPr>
              <w:rPr>
                <w:b/>
              </w:rPr>
            </w:pPr>
          </w:p>
        </w:tc>
      </w:tr>
      <w:tr w:rsidR="00090F89" w:rsidTr="00345119">
        <w:tc>
          <w:tcPr>
            <w:tcW w:w="9576" w:type="dxa"/>
          </w:tcPr>
          <w:p w:rsidR="008423E4" w:rsidRPr="00A8133F" w:rsidRDefault="00C7131A" w:rsidP="006A1DF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C7131A" w:rsidP="006A1DF4"/>
          <w:p w:rsidR="00037471" w:rsidRDefault="00C7131A" w:rsidP="006A1DF4">
            <w:pPr>
              <w:pStyle w:val="Header"/>
              <w:jc w:val="both"/>
            </w:pPr>
            <w:r>
              <w:t>C.S.H.B. 3528 amends the Business &amp; Commerce Code to prohibit a website</w:t>
            </w:r>
            <w:r>
              <w:t xml:space="preserve"> operator from intentionally using an Internet domain name, or any subdomain of the Internet domain name, in a ticket website's uniform resource locator that contains any of the following:</w:t>
            </w:r>
          </w:p>
          <w:p w:rsidR="00A55214" w:rsidRDefault="00C7131A" w:rsidP="006A1DF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the name of one of the following:</w:t>
            </w:r>
          </w:p>
          <w:p w:rsidR="00A55214" w:rsidRDefault="00C7131A" w:rsidP="006A1DF4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>
              <w:t xml:space="preserve">a performer; </w:t>
            </w:r>
          </w:p>
          <w:p w:rsidR="00A55214" w:rsidRDefault="00C7131A" w:rsidP="006A1DF4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>
              <w:t xml:space="preserve">an organization </w:t>
            </w:r>
            <w:r>
              <w:t>or</w:t>
            </w:r>
            <w:r>
              <w:t xml:space="preserve"> </w:t>
            </w:r>
            <w:r>
              <w:t xml:space="preserve">association that is associated with a performer, such as a professional sports league; </w:t>
            </w:r>
          </w:p>
          <w:p w:rsidR="00A55214" w:rsidRDefault="00C7131A" w:rsidP="006A1DF4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>
              <w:t xml:space="preserve">a venue in Texas; or </w:t>
            </w:r>
          </w:p>
          <w:p w:rsidR="00037471" w:rsidRDefault="00C7131A" w:rsidP="006A1DF4">
            <w:pPr>
              <w:pStyle w:val="Header"/>
              <w:numPr>
                <w:ilvl w:val="1"/>
                <w:numId w:val="1"/>
              </w:numPr>
              <w:spacing w:before="120" w:after="120"/>
              <w:jc w:val="both"/>
            </w:pPr>
            <w:r w:rsidRPr="0016014E">
              <w:t>an exhibition, performance, or other event to be held at a venue in</w:t>
            </w:r>
            <w:r>
              <w:t xml:space="preserve"> Texas;</w:t>
            </w:r>
          </w:p>
          <w:p w:rsidR="0016014E" w:rsidRDefault="00C7131A" w:rsidP="006A1DF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any name substantially similar to such a name, including a misspelling </w:t>
            </w:r>
            <w:r>
              <w:t>of the name; or</w:t>
            </w:r>
          </w:p>
          <w:p w:rsidR="008423E4" w:rsidRDefault="00C7131A" w:rsidP="006A1DF4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>a trademark not owned by the website operator, including a trademark owned by an authorized agent or partner of the venue or event.</w:t>
            </w:r>
          </w:p>
          <w:p w:rsidR="00037471" w:rsidRDefault="00C7131A" w:rsidP="009431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</w:t>
            </w:r>
            <w:r>
              <w:t>excepts from</w:t>
            </w:r>
            <w:r>
              <w:t xml:space="preserve"> </w:t>
            </w:r>
            <w:r>
              <w:t xml:space="preserve">that </w:t>
            </w:r>
            <w:r>
              <w:t xml:space="preserve">prohibition </w:t>
            </w:r>
            <w:r w:rsidRPr="00037471">
              <w:t xml:space="preserve">a website operator who is authorized by </w:t>
            </w:r>
            <w:r>
              <w:t>a performer, organization,</w:t>
            </w:r>
            <w:r w:rsidRPr="00037471">
              <w:t xml:space="preserve"> ve</w:t>
            </w:r>
            <w:r w:rsidRPr="00037471">
              <w:t xml:space="preserve">nue, or event's organizer to </w:t>
            </w:r>
            <w:r>
              <w:t>use the name or trademark</w:t>
            </w:r>
            <w:r w:rsidRPr="00037471">
              <w:t xml:space="preserve"> </w:t>
            </w:r>
            <w:r w:rsidRPr="00037471">
              <w:t xml:space="preserve">on the </w:t>
            </w:r>
            <w:r>
              <w:t xml:space="preserve">performer's, organization's, </w:t>
            </w:r>
            <w:r w:rsidRPr="00037471">
              <w:t>venue's, or event's behalf</w:t>
            </w:r>
            <w:r>
              <w:t xml:space="preserve"> for the purpose of selling or reselling tickets</w:t>
            </w:r>
            <w:r w:rsidRPr="00037471">
              <w:t>.</w:t>
            </w:r>
            <w:r>
              <w:t xml:space="preserve"> </w:t>
            </w:r>
            <w:r>
              <w:t>A</w:t>
            </w:r>
            <w:r>
              <w:t xml:space="preserve"> violation of the bill's provisions is a deceptive trade practice and is actionable unde</w:t>
            </w:r>
            <w:r>
              <w:t xml:space="preserve">r applicable </w:t>
            </w:r>
            <w:r>
              <w:t>state law</w:t>
            </w:r>
            <w:r>
              <w:t>.</w:t>
            </w:r>
            <w:r>
              <w:t xml:space="preserve"> The bill defines "internet domain name," "performer," "ticket website," "URL," "venue</w:t>
            </w:r>
            <w:r>
              <w:t>,</w:t>
            </w:r>
            <w:r>
              <w:t>" and "website operator."</w:t>
            </w:r>
          </w:p>
          <w:p w:rsidR="007349C4" w:rsidRDefault="00C7131A" w:rsidP="009431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7349C4" w:rsidRDefault="00C7131A" w:rsidP="009431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Pr="00835628" w:rsidRDefault="00C7131A" w:rsidP="006A1DF4">
            <w:pPr>
              <w:rPr>
                <w:b/>
              </w:rPr>
            </w:pPr>
          </w:p>
        </w:tc>
      </w:tr>
      <w:tr w:rsidR="00090F89" w:rsidTr="00345119">
        <w:tc>
          <w:tcPr>
            <w:tcW w:w="9576" w:type="dxa"/>
          </w:tcPr>
          <w:p w:rsidR="008423E4" w:rsidRPr="00A8133F" w:rsidRDefault="00C7131A" w:rsidP="006A1DF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C7131A" w:rsidP="006A1DF4"/>
          <w:p w:rsidR="008423E4" w:rsidRPr="003624F2" w:rsidRDefault="00C7131A" w:rsidP="006A1DF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C7131A" w:rsidP="006A1DF4">
            <w:pPr>
              <w:rPr>
                <w:b/>
              </w:rPr>
            </w:pPr>
          </w:p>
        </w:tc>
      </w:tr>
      <w:tr w:rsidR="00090F89" w:rsidTr="00345119">
        <w:tc>
          <w:tcPr>
            <w:tcW w:w="9576" w:type="dxa"/>
          </w:tcPr>
          <w:p w:rsidR="005571A5" w:rsidRDefault="00C7131A" w:rsidP="006A1DF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B34F5E" w:rsidRDefault="00C7131A" w:rsidP="006A1DF4">
            <w:pPr>
              <w:jc w:val="both"/>
            </w:pPr>
          </w:p>
          <w:p w:rsidR="00B34F5E" w:rsidRDefault="00C7131A" w:rsidP="006A1DF4">
            <w:pPr>
              <w:jc w:val="both"/>
            </w:pPr>
            <w:r>
              <w:t>While C.S.H.B. 3528 may differ from the</w:t>
            </w:r>
            <w:r>
              <w:t xml:space="preserve"> original in minor or nonsubstantive ways, the following summarizes the substantial differences between the introduced and committee substitute versions of the bill.</w:t>
            </w:r>
          </w:p>
          <w:p w:rsidR="00BA643F" w:rsidRDefault="00C7131A" w:rsidP="006A1DF4">
            <w:pPr>
              <w:jc w:val="both"/>
            </w:pPr>
          </w:p>
          <w:p w:rsidR="00BA643F" w:rsidRDefault="00C7131A" w:rsidP="006A1DF4">
            <w:pPr>
              <w:jc w:val="both"/>
            </w:pPr>
            <w:r>
              <w:t>The substitute</w:t>
            </w:r>
            <w:r>
              <w:t xml:space="preserve"> revises the definition of "ticket website" to include a mobile application</w:t>
            </w:r>
            <w:r>
              <w:t xml:space="preserve"> and provides</w:t>
            </w:r>
            <w:r>
              <w:t xml:space="preserve"> defin</w:t>
            </w:r>
            <w:r>
              <w:t>itions</w:t>
            </w:r>
            <w:r>
              <w:t xml:space="preserve"> </w:t>
            </w:r>
            <w:r>
              <w:t xml:space="preserve">for the terms </w:t>
            </w:r>
            <w:r>
              <w:t>"performer" and "URL</w:t>
            </w:r>
            <w:r>
              <w:t>.</w:t>
            </w:r>
            <w:r>
              <w:t xml:space="preserve">" </w:t>
            </w:r>
            <w:r>
              <w:t xml:space="preserve">The substitute </w:t>
            </w:r>
            <w:r>
              <w:t xml:space="preserve">revises the definition of "venue" to establish that the term includes any live entertainment event </w:t>
            </w:r>
            <w:r>
              <w:t xml:space="preserve">and </w:t>
            </w:r>
            <w:r>
              <w:t>revises the definition of "</w:t>
            </w:r>
            <w:r>
              <w:t>website operator</w:t>
            </w:r>
            <w:r>
              <w:t>" to include</w:t>
            </w:r>
            <w:r>
              <w:t xml:space="preserve"> a person who manage</w:t>
            </w:r>
            <w:r>
              <w:t>s or license</w:t>
            </w:r>
            <w:r>
              <w:t>s</w:t>
            </w:r>
            <w:r>
              <w:t xml:space="preserve"> a ticket website for an applicable event.</w:t>
            </w:r>
          </w:p>
          <w:p w:rsidR="00062806" w:rsidRDefault="00C7131A" w:rsidP="006A1DF4">
            <w:pPr>
              <w:jc w:val="both"/>
            </w:pPr>
          </w:p>
          <w:p w:rsidR="00BA643F" w:rsidRDefault="00C7131A" w:rsidP="006A1DF4">
            <w:pPr>
              <w:jc w:val="both"/>
            </w:pPr>
            <w:r>
              <w:t>The substitute revises the prohibited contents for</w:t>
            </w:r>
            <w:r>
              <w:t xml:space="preserve"> a</w:t>
            </w:r>
            <w:r>
              <w:t xml:space="preserve"> </w:t>
            </w:r>
            <w:r>
              <w:t>ticket website's</w:t>
            </w:r>
            <w:r>
              <w:t xml:space="preserve"> </w:t>
            </w:r>
            <w:r w:rsidRPr="00BA643F">
              <w:t xml:space="preserve">Internet domain </w:t>
            </w:r>
            <w:r>
              <w:t xml:space="preserve">or subdomain </w:t>
            </w:r>
            <w:r w:rsidRPr="00BA643F">
              <w:t>name</w:t>
            </w:r>
            <w:r>
              <w:t xml:space="preserve"> </w:t>
            </w:r>
            <w:r>
              <w:t xml:space="preserve">and </w:t>
            </w:r>
            <w:r>
              <w:t>the exception to th</w:t>
            </w:r>
            <w:r>
              <w:t>at</w:t>
            </w:r>
            <w:r>
              <w:t xml:space="preserve"> prohibition.</w:t>
            </w:r>
          </w:p>
          <w:p w:rsidR="00B34F5E" w:rsidRPr="00B34F5E" w:rsidRDefault="00C7131A" w:rsidP="006A1DF4">
            <w:pPr>
              <w:jc w:val="both"/>
            </w:pPr>
          </w:p>
        </w:tc>
      </w:tr>
      <w:tr w:rsidR="00090F89" w:rsidTr="00345119">
        <w:tc>
          <w:tcPr>
            <w:tcW w:w="9576" w:type="dxa"/>
          </w:tcPr>
          <w:p w:rsidR="005571A5" w:rsidRPr="009C1E9A" w:rsidRDefault="00C7131A" w:rsidP="006A1DF4">
            <w:pPr>
              <w:rPr>
                <w:b/>
                <w:u w:val="single"/>
              </w:rPr>
            </w:pPr>
          </w:p>
        </w:tc>
      </w:tr>
      <w:tr w:rsidR="00090F89" w:rsidTr="00345119">
        <w:tc>
          <w:tcPr>
            <w:tcW w:w="9576" w:type="dxa"/>
          </w:tcPr>
          <w:p w:rsidR="005571A5" w:rsidRPr="005571A5" w:rsidRDefault="00C7131A" w:rsidP="006A1DF4">
            <w:pPr>
              <w:jc w:val="both"/>
            </w:pPr>
          </w:p>
        </w:tc>
      </w:tr>
    </w:tbl>
    <w:p w:rsidR="008423E4" w:rsidRPr="00BE0E75" w:rsidRDefault="00C7131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C7131A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131A">
      <w:r>
        <w:separator/>
      </w:r>
    </w:p>
  </w:endnote>
  <w:endnote w:type="continuationSeparator" w:id="0">
    <w:p w:rsidR="00000000" w:rsidRDefault="00C7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7A" w:rsidRDefault="00C71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90F89" w:rsidTr="009C1E9A">
      <w:trPr>
        <w:cantSplit/>
      </w:trPr>
      <w:tc>
        <w:tcPr>
          <w:tcW w:w="0" w:type="pct"/>
        </w:tcPr>
        <w:p w:rsidR="00137D90" w:rsidRDefault="00C7131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C7131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C7131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C7131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C713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0F89" w:rsidTr="009C1E9A">
      <w:trPr>
        <w:cantSplit/>
      </w:trPr>
      <w:tc>
        <w:tcPr>
          <w:tcW w:w="0" w:type="pct"/>
        </w:tcPr>
        <w:p w:rsidR="00EC379B" w:rsidRDefault="00C7131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C713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29883</w:t>
          </w:r>
        </w:p>
      </w:tc>
      <w:tc>
        <w:tcPr>
          <w:tcW w:w="2453" w:type="pct"/>
        </w:tcPr>
        <w:p w:rsidR="00EC379B" w:rsidRDefault="00C713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19.116.621</w:t>
          </w:r>
          <w:r>
            <w:fldChar w:fldCharType="end"/>
          </w:r>
        </w:p>
      </w:tc>
    </w:tr>
    <w:tr w:rsidR="00090F89" w:rsidTr="009C1E9A">
      <w:trPr>
        <w:cantSplit/>
      </w:trPr>
      <w:tc>
        <w:tcPr>
          <w:tcW w:w="0" w:type="pct"/>
        </w:tcPr>
        <w:p w:rsidR="00EC379B" w:rsidRDefault="00C713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C713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23944</w:t>
          </w:r>
        </w:p>
      </w:tc>
      <w:tc>
        <w:tcPr>
          <w:tcW w:w="2453" w:type="pct"/>
        </w:tcPr>
        <w:p w:rsidR="00EC379B" w:rsidRDefault="00C7131A" w:rsidP="006D504F">
          <w:pPr>
            <w:pStyle w:val="Footer"/>
            <w:rPr>
              <w:rStyle w:val="PageNumber"/>
            </w:rPr>
          </w:pPr>
        </w:p>
        <w:p w:rsidR="00EC379B" w:rsidRDefault="00C713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90F89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C713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C7131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C7131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7A" w:rsidRDefault="00C71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131A">
      <w:r>
        <w:separator/>
      </w:r>
    </w:p>
  </w:footnote>
  <w:footnote w:type="continuationSeparator" w:id="0">
    <w:p w:rsidR="00000000" w:rsidRDefault="00C7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7A" w:rsidRDefault="00C71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7A" w:rsidRDefault="00C713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A7A" w:rsidRDefault="00C71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12E"/>
    <w:multiLevelType w:val="hybridMultilevel"/>
    <w:tmpl w:val="9EBCFA90"/>
    <w:lvl w:ilvl="0" w:tplc="45CACC08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E57671CE" w:tentative="1">
      <w:start w:val="1"/>
      <w:numFmt w:val="lowerLetter"/>
      <w:lvlText w:val="%2."/>
      <w:lvlJc w:val="left"/>
      <w:pPr>
        <w:ind w:left="1440" w:hanging="360"/>
      </w:pPr>
    </w:lvl>
    <w:lvl w:ilvl="2" w:tplc="713EB44C" w:tentative="1">
      <w:start w:val="1"/>
      <w:numFmt w:val="lowerRoman"/>
      <w:lvlText w:val="%3."/>
      <w:lvlJc w:val="right"/>
      <w:pPr>
        <w:ind w:left="2160" w:hanging="180"/>
      </w:pPr>
    </w:lvl>
    <w:lvl w:ilvl="3" w:tplc="6A3638D6" w:tentative="1">
      <w:start w:val="1"/>
      <w:numFmt w:val="decimal"/>
      <w:lvlText w:val="%4."/>
      <w:lvlJc w:val="left"/>
      <w:pPr>
        <w:ind w:left="2880" w:hanging="360"/>
      </w:pPr>
    </w:lvl>
    <w:lvl w:ilvl="4" w:tplc="CFCE8C5C" w:tentative="1">
      <w:start w:val="1"/>
      <w:numFmt w:val="lowerLetter"/>
      <w:lvlText w:val="%5."/>
      <w:lvlJc w:val="left"/>
      <w:pPr>
        <w:ind w:left="3600" w:hanging="360"/>
      </w:pPr>
    </w:lvl>
    <w:lvl w:ilvl="5" w:tplc="2382BCD4" w:tentative="1">
      <w:start w:val="1"/>
      <w:numFmt w:val="lowerRoman"/>
      <w:lvlText w:val="%6."/>
      <w:lvlJc w:val="right"/>
      <w:pPr>
        <w:ind w:left="4320" w:hanging="180"/>
      </w:pPr>
    </w:lvl>
    <w:lvl w:ilvl="6" w:tplc="8B7A3D74" w:tentative="1">
      <w:start w:val="1"/>
      <w:numFmt w:val="decimal"/>
      <w:lvlText w:val="%7."/>
      <w:lvlJc w:val="left"/>
      <w:pPr>
        <w:ind w:left="5040" w:hanging="360"/>
      </w:pPr>
    </w:lvl>
    <w:lvl w:ilvl="7" w:tplc="0B261274" w:tentative="1">
      <w:start w:val="1"/>
      <w:numFmt w:val="lowerLetter"/>
      <w:lvlText w:val="%8."/>
      <w:lvlJc w:val="left"/>
      <w:pPr>
        <w:ind w:left="5760" w:hanging="360"/>
      </w:pPr>
    </w:lvl>
    <w:lvl w:ilvl="8" w:tplc="5948B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F275A"/>
    <w:multiLevelType w:val="hybridMultilevel"/>
    <w:tmpl w:val="A786710A"/>
    <w:lvl w:ilvl="0" w:tplc="36DC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064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4C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82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8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AF5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EBD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C7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08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89"/>
    <w:rsid w:val="00090F89"/>
    <w:rsid w:val="00C7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C106C0-AD2E-4167-A5B3-D37E3FA0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3747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74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747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7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7471"/>
    <w:rPr>
      <w:b/>
      <w:bCs/>
    </w:rPr>
  </w:style>
  <w:style w:type="paragraph" w:styleId="Revision">
    <w:name w:val="Revision"/>
    <w:hidden/>
    <w:uiPriority w:val="99"/>
    <w:semiHidden/>
    <w:rsid w:val="001634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2610</Characters>
  <Application>Microsoft Office Word</Application>
  <DocSecurity>4</DocSecurity>
  <Lines>75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HB03528 (Committee Report (Substituted))</vt:lpstr>
    </vt:vector>
  </TitlesOfParts>
  <Company>State of Texas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29883</dc:subject>
  <dc:creator>State of Texas</dc:creator>
  <dc:description>HB 3528 by Moody-(H)Business &amp; Industry (Substitute Document Number: 86R 23944)</dc:description>
  <cp:lastModifiedBy>Scotty Wimberley</cp:lastModifiedBy>
  <cp:revision>2</cp:revision>
  <cp:lastPrinted>2003-11-26T17:21:00Z</cp:lastPrinted>
  <dcterms:created xsi:type="dcterms:W3CDTF">2019-04-28T20:21:00Z</dcterms:created>
  <dcterms:modified xsi:type="dcterms:W3CDTF">2019-04-28T20:21:00Z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19.116.621</vt:lpwstr>
  </property>
</Properties>
</file>