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B139A" w:rsidTr="00345119">
        <w:tc>
          <w:tcPr>
            <w:tcW w:w="9576" w:type="dxa"/>
            <w:noWrap/>
          </w:tcPr>
          <w:p w:rsidR="008423E4" w:rsidRPr="0022177D" w:rsidRDefault="0073785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37859" w:rsidP="008423E4">
      <w:pPr>
        <w:jc w:val="center"/>
      </w:pPr>
    </w:p>
    <w:p w:rsidR="008423E4" w:rsidRPr="00B31F0E" w:rsidRDefault="00737859" w:rsidP="008423E4"/>
    <w:p w:rsidR="008423E4" w:rsidRPr="00742794" w:rsidRDefault="0073785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B139A" w:rsidTr="00345119">
        <w:tc>
          <w:tcPr>
            <w:tcW w:w="9576" w:type="dxa"/>
          </w:tcPr>
          <w:p w:rsidR="008423E4" w:rsidRPr="00861995" w:rsidRDefault="00737859" w:rsidP="00345119">
            <w:pPr>
              <w:jc w:val="right"/>
            </w:pPr>
            <w:r>
              <w:t>H.B. 3542</w:t>
            </w:r>
          </w:p>
        </w:tc>
      </w:tr>
      <w:tr w:rsidR="006B139A" w:rsidTr="00345119">
        <w:tc>
          <w:tcPr>
            <w:tcW w:w="9576" w:type="dxa"/>
          </w:tcPr>
          <w:p w:rsidR="008423E4" w:rsidRPr="00861995" w:rsidRDefault="00737859" w:rsidP="00075D22">
            <w:pPr>
              <w:jc w:val="right"/>
            </w:pPr>
            <w:r>
              <w:t xml:space="preserve">By: </w:t>
            </w:r>
            <w:r>
              <w:t>Phelan</w:t>
            </w:r>
          </w:p>
        </w:tc>
      </w:tr>
      <w:tr w:rsidR="006B139A" w:rsidTr="00345119">
        <w:tc>
          <w:tcPr>
            <w:tcW w:w="9576" w:type="dxa"/>
          </w:tcPr>
          <w:p w:rsidR="008423E4" w:rsidRPr="00861995" w:rsidRDefault="00737859" w:rsidP="00345119">
            <w:pPr>
              <w:jc w:val="right"/>
            </w:pPr>
            <w:r>
              <w:t>State Affairs</w:t>
            </w:r>
          </w:p>
        </w:tc>
      </w:tr>
      <w:tr w:rsidR="006B139A" w:rsidTr="00345119">
        <w:tc>
          <w:tcPr>
            <w:tcW w:w="9576" w:type="dxa"/>
          </w:tcPr>
          <w:p w:rsidR="008423E4" w:rsidRDefault="00737859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737859" w:rsidP="008423E4">
      <w:pPr>
        <w:tabs>
          <w:tab w:val="right" w:pos="9360"/>
        </w:tabs>
      </w:pPr>
    </w:p>
    <w:p w:rsidR="008423E4" w:rsidRDefault="00737859" w:rsidP="008423E4"/>
    <w:p w:rsidR="008423E4" w:rsidRDefault="0073785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B139A" w:rsidTr="00345119">
        <w:tc>
          <w:tcPr>
            <w:tcW w:w="9576" w:type="dxa"/>
          </w:tcPr>
          <w:p w:rsidR="008423E4" w:rsidRPr="00A8133F" w:rsidRDefault="00737859" w:rsidP="0078731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37859" w:rsidP="00787317"/>
          <w:p w:rsidR="008423E4" w:rsidRDefault="00737859" w:rsidP="00787317">
            <w:pPr>
              <w:pStyle w:val="Header"/>
              <w:jc w:val="both"/>
            </w:pPr>
            <w:r>
              <w:t xml:space="preserve">For some </w:t>
            </w:r>
            <w:r>
              <w:t>smaller</w:t>
            </w:r>
            <w:r>
              <w:t xml:space="preserve"> water and wastewater utilities whose system infrastructure is urgently in need of repair or replacement</w:t>
            </w:r>
            <w:r>
              <w:t xml:space="preserve">, sale to a larger </w:t>
            </w:r>
            <w:r>
              <w:t>utility</w:t>
            </w:r>
            <w:r>
              <w:t xml:space="preserve"> is a welcome opportunity to enable system improvements and ensure continued safe and reliable service for </w:t>
            </w:r>
            <w:r>
              <w:t>customers</w:t>
            </w:r>
            <w:r>
              <w:t xml:space="preserve">. However, </w:t>
            </w:r>
            <w:r>
              <w:t xml:space="preserve">concerns have been raised that </w:t>
            </w:r>
            <w:r>
              <w:t xml:space="preserve">current </w:t>
            </w:r>
            <w:r>
              <w:t>state law</w:t>
            </w:r>
            <w:r>
              <w:t xml:space="preserve"> restrict</w:t>
            </w:r>
            <w:r>
              <w:t>ing</w:t>
            </w:r>
            <w:r>
              <w:t xml:space="preserve"> a utility’s ability to recover an investment for </w:t>
            </w:r>
            <w:r>
              <w:t xml:space="preserve">such an </w:t>
            </w:r>
            <w:r>
              <w:t>acqu</w:t>
            </w:r>
            <w:r>
              <w:t xml:space="preserve">isition </w:t>
            </w:r>
            <w:r>
              <w:t>inhibits these otherwise mutually beneficial transactions.</w:t>
            </w:r>
            <w:r>
              <w:t xml:space="preserve"> H</w:t>
            </w:r>
            <w:r>
              <w:t>.</w:t>
            </w:r>
            <w:r>
              <w:t>B</w:t>
            </w:r>
            <w:r>
              <w:t>.</w:t>
            </w:r>
            <w:r>
              <w:t xml:space="preserve"> 3542 </w:t>
            </w:r>
            <w:r>
              <w:t xml:space="preserve">seeks to </w:t>
            </w:r>
            <w:r>
              <w:t xml:space="preserve">remove these barriers </w:t>
            </w:r>
            <w:r>
              <w:t xml:space="preserve">to investment </w:t>
            </w:r>
            <w:r>
              <w:t xml:space="preserve">by </w:t>
            </w:r>
            <w:r>
              <w:t xml:space="preserve">establishing </w:t>
            </w:r>
            <w:r>
              <w:t xml:space="preserve">an optional </w:t>
            </w:r>
            <w:r>
              <w:t xml:space="preserve">alternative </w:t>
            </w:r>
            <w:r>
              <w:t xml:space="preserve">valuation appraisal process </w:t>
            </w:r>
            <w:r>
              <w:t>as part of a voluntary acquisition of a retail public utility or i</w:t>
            </w:r>
            <w:r>
              <w:t>ts facilities.</w:t>
            </w:r>
          </w:p>
          <w:p w:rsidR="008423E4" w:rsidRPr="00E26B13" w:rsidRDefault="00737859" w:rsidP="00787317">
            <w:pPr>
              <w:rPr>
                <w:b/>
              </w:rPr>
            </w:pPr>
          </w:p>
        </w:tc>
      </w:tr>
      <w:tr w:rsidR="006B139A" w:rsidTr="00345119">
        <w:tc>
          <w:tcPr>
            <w:tcW w:w="9576" w:type="dxa"/>
          </w:tcPr>
          <w:p w:rsidR="0017725B" w:rsidRDefault="00737859" w:rsidP="0078731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37859" w:rsidP="00787317">
            <w:pPr>
              <w:rPr>
                <w:b/>
                <w:u w:val="single"/>
              </w:rPr>
            </w:pPr>
          </w:p>
          <w:p w:rsidR="00FB3092" w:rsidRPr="00FB3092" w:rsidRDefault="00737859" w:rsidP="00787317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</w:t>
            </w:r>
            <w:r>
              <w:t xml:space="preserve"> community supervision, parole, or mandatory supervision.</w:t>
            </w:r>
          </w:p>
          <w:p w:rsidR="0017725B" w:rsidRPr="0017725B" w:rsidRDefault="00737859" w:rsidP="00787317">
            <w:pPr>
              <w:rPr>
                <w:b/>
                <w:u w:val="single"/>
              </w:rPr>
            </w:pPr>
          </w:p>
        </w:tc>
      </w:tr>
      <w:tr w:rsidR="006B139A" w:rsidTr="00345119">
        <w:tc>
          <w:tcPr>
            <w:tcW w:w="9576" w:type="dxa"/>
          </w:tcPr>
          <w:p w:rsidR="008423E4" w:rsidRPr="00A8133F" w:rsidRDefault="00737859" w:rsidP="0078731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37859" w:rsidP="00787317"/>
          <w:p w:rsidR="00FB3092" w:rsidRDefault="00737859" w:rsidP="0078731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737859" w:rsidP="00787317">
            <w:pPr>
              <w:rPr>
                <w:b/>
              </w:rPr>
            </w:pPr>
          </w:p>
        </w:tc>
      </w:tr>
      <w:tr w:rsidR="006B139A" w:rsidTr="00345119">
        <w:tc>
          <w:tcPr>
            <w:tcW w:w="9576" w:type="dxa"/>
          </w:tcPr>
          <w:p w:rsidR="008423E4" w:rsidRPr="00A8133F" w:rsidRDefault="00737859" w:rsidP="0078731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37859" w:rsidP="00787317"/>
          <w:p w:rsidR="004A4120" w:rsidRDefault="00737859" w:rsidP="0078731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3542 amends the Water Code to authorize a Class A utility that is acquiring a </w:t>
            </w:r>
            <w:r>
              <w:t xml:space="preserve">retail public </w:t>
            </w:r>
            <w:r>
              <w:t xml:space="preserve">utility or facilities of </w:t>
            </w:r>
            <w:r>
              <w:t xml:space="preserve">such </w:t>
            </w:r>
            <w:r>
              <w:t xml:space="preserve">a utility as the result of a voluntary arm's-length transaction to agree </w:t>
            </w:r>
            <w:r w:rsidRPr="004A4120">
              <w:t xml:space="preserve">to determine by </w:t>
            </w:r>
            <w:r w:rsidRPr="001E0276">
              <w:t>the following process the fair</w:t>
            </w:r>
            <w:r w:rsidRPr="004A4120">
              <w:t xml:space="preserve"> market </w:t>
            </w:r>
            <w:r w:rsidRPr="004A4120">
              <w:t>value of the selling utility or the facilities to be sold, as applicable</w:t>
            </w:r>
            <w:r>
              <w:t>:</w:t>
            </w:r>
          </w:p>
          <w:p w:rsidR="001E0276" w:rsidRDefault="00737859" w:rsidP="00787317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1E0276">
              <w:t xml:space="preserve">the acquiring utility and the selling utility </w:t>
            </w:r>
            <w:r>
              <w:t>must</w:t>
            </w:r>
            <w:r w:rsidRPr="001E0276">
              <w:t xml:space="preserve"> notify the</w:t>
            </w:r>
            <w:r>
              <w:t xml:space="preserve"> Public Utility Commission of Texas</w:t>
            </w:r>
            <w:r w:rsidRPr="001E0276">
              <w:t xml:space="preserve"> </w:t>
            </w:r>
            <w:r>
              <w:t>(</w:t>
            </w:r>
            <w:r>
              <w:t>PUC</w:t>
            </w:r>
            <w:r>
              <w:t>)</w:t>
            </w:r>
            <w:r w:rsidRPr="001E0276">
              <w:t xml:space="preserve"> of their intent to determine the fair market value;</w:t>
            </w:r>
          </w:p>
          <w:p w:rsidR="001E0276" w:rsidRDefault="00737859" w:rsidP="00787317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the PUC, </w:t>
            </w:r>
            <w:r w:rsidRPr="001E0276">
              <w:t>not later than the</w:t>
            </w:r>
            <w:r w:rsidRPr="001E0276">
              <w:t xml:space="preserve"> 30th day after the date the </w:t>
            </w:r>
            <w:r>
              <w:t>PUC</w:t>
            </w:r>
            <w:r w:rsidRPr="001E0276">
              <w:t xml:space="preserve"> receives </w:t>
            </w:r>
            <w:r>
              <w:t xml:space="preserve">the </w:t>
            </w:r>
            <w:r w:rsidRPr="001E0276">
              <w:t>notice</w:t>
            </w:r>
            <w:r>
              <w:t xml:space="preserve">, must </w:t>
            </w:r>
            <w:r w:rsidRPr="001E0276">
              <w:t>select three utility</w:t>
            </w:r>
            <w:r>
              <w:t xml:space="preserve"> valuation experts</w:t>
            </w:r>
            <w:r w:rsidRPr="001E0276">
              <w:t>;</w:t>
            </w:r>
          </w:p>
          <w:p w:rsidR="001E0276" w:rsidRDefault="00737859" w:rsidP="00787317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1E0276">
              <w:t>eac</w:t>
            </w:r>
            <w:r>
              <w:t>h expert must</w:t>
            </w:r>
            <w:r w:rsidRPr="001E0276">
              <w:t xml:space="preserve"> perform an appraisal in compliance with Uniform Standards of Professional Appraisal Practice, employing the cost, market, and income approac</w:t>
            </w:r>
            <w:r w:rsidRPr="001E0276">
              <w:t>hes, to determine the fair market value; and</w:t>
            </w:r>
          </w:p>
          <w:p w:rsidR="00E7531B" w:rsidRDefault="00737859" w:rsidP="00787317">
            <w:pPr>
              <w:pStyle w:val="Header"/>
              <w:numPr>
                <w:ilvl w:val="0"/>
                <w:numId w:val="3"/>
              </w:numPr>
              <w:spacing w:before="120" w:after="120"/>
              <w:jc w:val="both"/>
            </w:pPr>
            <w:r>
              <w:t xml:space="preserve">the three experts jointly </w:t>
            </w:r>
            <w:r>
              <w:t xml:space="preserve">must </w:t>
            </w:r>
            <w:r>
              <w:t>retain a licensed engineer to conduct an assessment of the tangible assets of the selling utility</w:t>
            </w:r>
            <w:r>
              <w:t xml:space="preserve"> or the facilities to be sold </w:t>
            </w:r>
            <w:r>
              <w:t>and eac</w:t>
            </w:r>
            <w:r>
              <w:t xml:space="preserve">h expert must </w:t>
            </w:r>
            <w:r>
              <w:t xml:space="preserve">incorporate the assessment into </w:t>
            </w:r>
            <w:r>
              <w:t>the appraisal under the</w:t>
            </w:r>
            <w:r>
              <w:t xml:space="preserve"> required cost approach </w:t>
            </w:r>
            <w:r>
              <w:t>and</w:t>
            </w:r>
            <w:r>
              <w:t xml:space="preserve"> </w:t>
            </w:r>
            <w:r>
              <w:t>provide the completed appraisal to the acquiring utility and the selling utility in a reasonable and timely manner.</w:t>
            </w:r>
          </w:p>
          <w:p w:rsidR="00C720A5" w:rsidRDefault="00737859" w:rsidP="0078731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bill establishes that, for purposes of the acquisition, the fair market value is the </w:t>
            </w:r>
            <w:r>
              <w:t>average of the three appraisals.</w:t>
            </w:r>
          </w:p>
          <w:p w:rsidR="0028270A" w:rsidRDefault="00737859" w:rsidP="0078731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28270A" w:rsidRDefault="00737859" w:rsidP="0078731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3542 </w:t>
            </w:r>
            <w:r>
              <w:t xml:space="preserve">requires the PUC to maintain a list of experts qualified to </w:t>
            </w:r>
            <w:r w:rsidRPr="00E7531B">
              <w:t>conduct economic valuations of utilities</w:t>
            </w:r>
            <w:r>
              <w:t xml:space="preserve"> for the bill's purposes and requires the three experts to be chosen from that list. The bill provides certain conflict of interest protections with regard to</w:t>
            </w:r>
            <w:r>
              <w:t xml:space="preserve"> </w:t>
            </w:r>
            <w:r>
              <w:t>the</w:t>
            </w:r>
            <w:r>
              <w:t xml:space="preserve"> </w:t>
            </w:r>
            <w:r>
              <w:t xml:space="preserve">valuation </w:t>
            </w:r>
            <w:r>
              <w:t>expert</w:t>
            </w:r>
            <w:r>
              <w:t>s</w:t>
            </w:r>
            <w:r>
              <w:t xml:space="preserve"> </w:t>
            </w:r>
            <w:r>
              <w:t>and sets out provisions relating to fees paid to an expert</w:t>
            </w:r>
            <w:r>
              <w:t xml:space="preserve">. </w:t>
            </w:r>
          </w:p>
          <w:p w:rsidR="0028270A" w:rsidRDefault="00737859" w:rsidP="0078731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084E33" w:rsidRDefault="00737859" w:rsidP="0078731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3542 </w:t>
            </w:r>
            <w:r>
              <w:t xml:space="preserve">establishes that, for an acquisition of a selling utility, </w:t>
            </w:r>
            <w:r w:rsidRPr="0028270A">
              <w:t xml:space="preserve">the </w:t>
            </w:r>
            <w:r>
              <w:t xml:space="preserve">selling utility's </w:t>
            </w:r>
            <w:r w:rsidRPr="0028270A">
              <w:t xml:space="preserve">ratemaking rate base is the lesser of the purchase price negotiated by the acquiring utility and the selling utility or the fair market value. </w:t>
            </w:r>
            <w:r>
              <w:t>The bill requires t</w:t>
            </w:r>
            <w:r w:rsidRPr="00084E33">
              <w:t>h</w:t>
            </w:r>
            <w:r>
              <w:t>at</w:t>
            </w:r>
            <w:r w:rsidRPr="00084E33">
              <w:t xml:space="preserve"> rate base</w:t>
            </w:r>
            <w:r w:rsidRPr="00084E33">
              <w:t xml:space="preserve"> </w:t>
            </w:r>
            <w:r>
              <w:t>to</w:t>
            </w:r>
            <w:r w:rsidRPr="00084E33">
              <w:t xml:space="preserve"> be incorporated into the </w:t>
            </w:r>
            <w:r>
              <w:t xml:space="preserve">acquiring utility's </w:t>
            </w:r>
            <w:r w:rsidRPr="00084E33">
              <w:t>rate base during the utility's next rate base case under</w:t>
            </w:r>
            <w:r>
              <w:t xml:space="preserve"> proceedings before the PUC.</w:t>
            </w:r>
          </w:p>
          <w:p w:rsidR="00084E33" w:rsidRDefault="00737859" w:rsidP="0078731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7321E6" w:rsidRDefault="00737859" w:rsidP="00787317">
            <w:pPr>
              <w:pStyle w:val="Header"/>
              <w:jc w:val="both"/>
            </w:pPr>
            <w:r>
              <w:t xml:space="preserve">H.B. 3542 </w:t>
            </w:r>
            <w:r>
              <w:t xml:space="preserve">requires </w:t>
            </w:r>
            <w:r>
              <w:t xml:space="preserve">an </w:t>
            </w:r>
            <w:r>
              <w:t>acquiring utility</w:t>
            </w:r>
            <w:r>
              <w:t xml:space="preserve"> that, with the selling utility,</w:t>
            </w:r>
            <w:r>
              <w:t xml:space="preserve"> use</w:t>
            </w:r>
            <w:r>
              <w:t>d</w:t>
            </w:r>
            <w:r>
              <w:t xml:space="preserve"> the process</w:t>
            </w:r>
            <w:r>
              <w:t xml:space="preserve"> </w:t>
            </w:r>
            <w:r>
              <w:t>for establishing fair market val</w:t>
            </w:r>
            <w:r>
              <w:t>ue</w:t>
            </w:r>
            <w:r>
              <w:t xml:space="preserve"> set out by the bill</w:t>
            </w:r>
            <w:r>
              <w:t xml:space="preserve"> to submit </w:t>
            </w:r>
            <w:r>
              <w:t xml:space="preserve">certain related information and documentation as </w:t>
            </w:r>
            <w:r>
              <w:t xml:space="preserve">attachments to the </w:t>
            </w:r>
            <w:r>
              <w:t xml:space="preserve">acquisition </w:t>
            </w:r>
            <w:r>
              <w:t>application</w:t>
            </w:r>
            <w:r>
              <w:t xml:space="preserve">, including, </w:t>
            </w:r>
            <w:r>
              <w:t xml:space="preserve">if applicable, a tariff containing a rate equal to the </w:t>
            </w:r>
            <w:r>
              <w:t xml:space="preserve">selling utility's </w:t>
            </w:r>
            <w:r>
              <w:t>existing rates at the time of the acquisition.</w:t>
            </w:r>
            <w:r>
              <w:t xml:space="preserve"> The bill establishes that a submitted tariff remains in effect until the PUC approves new rates as part of a rate base case proceedin</w:t>
            </w:r>
            <w:r>
              <w:t xml:space="preserve">g. </w:t>
            </w:r>
            <w:r>
              <w:t xml:space="preserve">The bill requires the </w:t>
            </w:r>
            <w:r>
              <w:t>PUC</w:t>
            </w:r>
            <w:r>
              <w:t xml:space="preserve"> to issue an order</w:t>
            </w:r>
            <w:r>
              <w:t xml:space="preserve"> following approval of the application</w:t>
            </w:r>
            <w:r>
              <w:t xml:space="preserve"> contain</w:t>
            </w:r>
            <w:r>
              <w:t xml:space="preserve">ing </w:t>
            </w:r>
            <w:r>
              <w:t xml:space="preserve">the </w:t>
            </w:r>
            <w:r>
              <w:t xml:space="preserve">selling utility's </w:t>
            </w:r>
            <w:r>
              <w:t>dete</w:t>
            </w:r>
            <w:r>
              <w:t xml:space="preserve">rmined ratemaking rate base and any additional conditions for the acquisition the PUC requires. </w:t>
            </w:r>
          </w:p>
          <w:p w:rsidR="007321E6" w:rsidRDefault="00737859" w:rsidP="00787317">
            <w:pPr>
              <w:pStyle w:val="Header"/>
              <w:jc w:val="both"/>
            </w:pPr>
          </w:p>
          <w:p w:rsidR="00EB7C7E" w:rsidRDefault="00737859" w:rsidP="00787317">
            <w:pPr>
              <w:pStyle w:val="Header"/>
              <w:jc w:val="both"/>
            </w:pPr>
            <w:r>
              <w:t>H.B. 3542</w:t>
            </w:r>
            <w:r>
              <w:t xml:space="preserve"> establishes that the original sources of funding for any part of </w:t>
            </w:r>
            <w:r>
              <w:t xml:space="preserve">a selling utility's </w:t>
            </w:r>
            <w:r w:rsidRPr="00084E33">
              <w:t>water or sewer assets are not relevant to determine the value o</w:t>
            </w:r>
            <w:r w:rsidRPr="00084E33">
              <w:t>f the selling utility's assets.</w:t>
            </w:r>
            <w:r>
              <w:t xml:space="preserve"> The bill requires t</w:t>
            </w:r>
            <w:r w:rsidRPr="00084E33">
              <w:t xml:space="preserve">he selling utility's cost of service </w:t>
            </w:r>
            <w:r>
              <w:t>to</w:t>
            </w:r>
            <w:r w:rsidRPr="00084E33">
              <w:t xml:space="preserve"> be incorporated into the revenue requirement of the acquiring utility's next rate base case proceeding.</w:t>
            </w:r>
            <w:r>
              <w:t xml:space="preserve"> </w:t>
            </w:r>
            <w:r>
              <w:t xml:space="preserve">The bill </w:t>
            </w:r>
            <w:r>
              <w:t>establishes that an</w:t>
            </w:r>
            <w:r>
              <w:t xml:space="preserve"> acquiring utility's post-acquisi</w:t>
            </w:r>
            <w:r>
              <w:t xml:space="preserve">tion improvements accrue on </w:t>
            </w:r>
            <w:r w:rsidRPr="00EB7C7E">
              <w:t>an accounting practice that recognizes the capital costs that are used to finance the construction costs of an improvement to a selling utility's assets by an acquiring utility</w:t>
            </w:r>
            <w:r>
              <w:t xml:space="preserve"> after the date the cost was incurred until the earlier of the fourth anniversary of the date the a</w:t>
            </w:r>
            <w:r>
              <w:t>sset entered into service</w:t>
            </w:r>
            <w:r>
              <w:t xml:space="preserve"> or the inclusion of the asset in the acquirin</w:t>
            </w:r>
            <w:r>
              <w:t xml:space="preserve">g utility's next rate base case. </w:t>
            </w:r>
            <w:r>
              <w:t>The bill defers depreciation on an acquiring utility'</w:t>
            </w:r>
            <w:r>
              <w:t>s post</w:t>
            </w:r>
            <w:r>
              <w:t>-</w:t>
            </w:r>
            <w:r>
              <w:t>acquisition improvements for book and ratemaking purposes.</w:t>
            </w:r>
          </w:p>
          <w:p w:rsidR="008423E4" w:rsidRPr="00835628" w:rsidRDefault="00737859" w:rsidP="00787317">
            <w:pPr>
              <w:rPr>
                <w:b/>
              </w:rPr>
            </w:pPr>
          </w:p>
        </w:tc>
      </w:tr>
      <w:tr w:rsidR="006B139A" w:rsidTr="00345119">
        <w:tc>
          <w:tcPr>
            <w:tcW w:w="9576" w:type="dxa"/>
          </w:tcPr>
          <w:p w:rsidR="008423E4" w:rsidRPr="00A8133F" w:rsidRDefault="00737859" w:rsidP="0078731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37859" w:rsidP="00787317"/>
          <w:p w:rsidR="008423E4" w:rsidRPr="003624F2" w:rsidRDefault="00737859" w:rsidP="0078731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737859" w:rsidP="00787317">
            <w:pPr>
              <w:rPr>
                <w:b/>
              </w:rPr>
            </w:pPr>
          </w:p>
        </w:tc>
      </w:tr>
    </w:tbl>
    <w:p w:rsidR="008423E4" w:rsidRPr="00BE0E75" w:rsidRDefault="0073785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37859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37859">
      <w:r>
        <w:separator/>
      </w:r>
    </w:p>
  </w:endnote>
  <w:endnote w:type="continuationSeparator" w:id="0">
    <w:p w:rsidR="00000000" w:rsidRDefault="00737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378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B139A" w:rsidTr="009C1E9A">
      <w:trPr>
        <w:cantSplit/>
      </w:trPr>
      <w:tc>
        <w:tcPr>
          <w:tcW w:w="0" w:type="pct"/>
        </w:tcPr>
        <w:p w:rsidR="00137D90" w:rsidRDefault="0073785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3785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3785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3785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3785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B139A" w:rsidTr="009C1E9A">
      <w:trPr>
        <w:cantSplit/>
      </w:trPr>
      <w:tc>
        <w:tcPr>
          <w:tcW w:w="0" w:type="pct"/>
        </w:tcPr>
        <w:p w:rsidR="00EC379B" w:rsidRDefault="0073785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3785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22961</w:t>
          </w:r>
        </w:p>
      </w:tc>
      <w:tc>
        <w:tcPr>
          <w:tcW w:w="2453" w:type="pct"/>
        </w:tcPr>
        <w:p w:rsidR="00EC379B" w:rsidRDefault="0073785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19.88.1369</w:t>
          </w:r>
          <w:r>
            <w:fldChar w:fldCharType="end"/>
          </w:r>
        </w:p>
      </w:tc>
    </w:tr>
    <w:tr w:rsidR="006B139A" w:rsidTr="009C1E9A">
      <w:trPr>
        <w:cantSplit/>
      </w:trPr>
      <w:tc>
        <w:tcPr>
          <w:tcW w:w="0" w:type="pct"/>
        </w:tcPr>
        <w:p w:rsidR="00EC379B" w:rsidRDefault="0073785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3785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37859" w:rsidP="006D504F">
          <w:pPr>
            <w:pStyle w:val="Footer"/>
            <w:rPr>
              <w:rStyle w:val="PageNumber"/>
            </w:rPr>
          </w:pPr>
        </w:p>
        <w:p w:rsidR="00EC379B" w:rsidRDefault="0073785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B139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3785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3785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3785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378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37859">
      <w:r>
        <w:separator/>
      </w:r>
    </w:p>
  </w:footnote>
  <w:footnote w:type="continuationSeparator" w:id="0">
    <w:p w:rsidR="00000000" w:rsidRDefault="00737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378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378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378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D098A"/>
    <w:multiLevelType w:val="hybridMultilevel"/>
    <w:tmpl w:val="329CD12A"/>
    <w:lvl w:ilvl="0" w:tplc="E61AEF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D8FE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0239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82F4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06D3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5A32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38D6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4C9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84D5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75991"/>
    <w:multiLevelType w:val="hybridMultilevel"/>
    <w:tmpl w:val="ABD6E576"/>
    <w:lvl w:ilvl="0" w:tplc="4CA25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F40E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9073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A8A3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5C89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14AA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849C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F0F3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9E3C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810EF"/>
    <w:multiLevelType w:val="hybridMultilevel"/>
    <w:tmpl w:val="B1D485BA"/>
    <w:lvl w:ilvl="0" w:tplc="531490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F64F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44DB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B0B5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BC3E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E6D8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7031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F6EC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78A3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39A"/>
    <w:rsid w:val="006B139A"/>
    <w:rsid w:val="0073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ED695F0-73D2-4EDD-A005-66BEC44E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E1F4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E1F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E1F4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E1F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E1F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786</Words>
  <Characters>4238</Characters>
  <Application>Microsoft Office Word</Application>
  <DocSecurity>4</DocSecurity>
  <Lines>89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HB03542 (Committee Report (Unamended))</vt:lpstr>
    </vt:vector>
  </TitlesOfParts>
  <Company>State of Texas</Company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22961</dc:subject>
  <dc:creator>State of Texas</dc:creator>
  <dc:description>HB 3542 by Phelan-(H)State Affairs</dc:description>
  <cp:lastModifiedBy>Stacey Nicchio</cp:lastModifiedBy>
  <cp:revision>2</cp:revision>
  <cp:lastPrinted>2003-11-26T17:21:00Z</cp:lastPrinted>
  <dcterms:created xsi:type="dcterms:W3CDTF">2019-04-15T23:19:00Z</dcterms:created>
  <dcterms:modified xsi:type="dcterms:W3CDTF">2019-04-15T23:19:00Z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19.88.1369</vt:lpwstr>
  </property>
</Properties>
</file>