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40AEA" w:rsidTr="00345119">
        <w:tc>
          <w:tcPr>
            <w:tcW w:w="9576" w:type="dxa"/>
            <w:noWrap/>
          </w:tcPr>
          <w:p w:rsidR="008423E4" w:rsidRPr="0022177D" w:rsidRDefault="00336B0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36B08" w:rsidP="008423E4">
      <w:pPr>
        <w:jc w:val="center"/>
      </w:pPr>
    </w:p>
    <w:p w:rsidR="008423E4" w:rsidRPr="00B31F0E" w:rsidRDefault="00336B08" w:rsidP="008423E4"/>
    <w:p w:rsidR="008423E4" w:rsidRPr="00742794" w:rsidRDefault="00336B0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40AEA" w:rsidTr="00345119">
        <w:tc>
          <w:tcPr>
            <w:tcW w:w="9576" w:type="dxa"/>
          </w:tcPr>
          <w:p w:rsidR="008423E4" w:rsidRPr="00861995" w:rsidRDefault="00336B08" w:rsidP="00345119">
            <w:pPr>
              <w:jc w:val="right"/>
            </w:pPr>
            <w:r>
              <w:t>C.S.H.B. 3543</w:t>
            </w:r>
          </w:p>
        </w:tc>
      </w:tr>
      <w:tr w:rsidR="00240AEA" w:rsidTr="00345119">
        <w:tc>
          <w:tcPr>
            <w:tcW w:w="9576" w:type="dxa"/>
          </w:tcPr>
          <w:p w:rsidR="008423E4" w:rsidRPr="00861995" w:rsidRDefault="00336B08" w:rsidP="0061059A">
            <w:pPr>
              <w:jc w:val="right"/>
            </w:pPr>
            <w:r>
              <w:t xml:space="preserve">By: </w:t>
            </w:r>
            <w:r>
              <w:t>Thompson, Senfronia</w:t>
            </w:r>
          </w:p>
        </w:tc>
      </w:tr>
      <w:tr w:rsidR="00240AEA" w:rsidTr="00345119">
        <w:tc>
          <w:tcPr>
            <w:tcW w:w="9576" w:type="dxa"/>
          </w:tcPr>
          <w:p w:rsidR="008423E4" w:rsidRPr="00861995" w:rsidRDefault="00336B08" w:rsidP="00345119">
            <w:pPr>
              <w:jc w:val="right"/>
            </w:pPr>
            <w:r>
              <w:t>Judiciary &amp; Civil Jurisprudence</w:t>
            </w:r>
          </w:p>
        </w:tc>
      </w:tr>
      <w:tr w:rsidR="00240AEA" w:rsidTr="00345119">
        <w:tc>
          <w:tcPr>
            <w:tcW w:w="9576" w:type="dxa"/>
          </w:tcPr>
          <w:p w:rsidR="008423E4" w:rsidRDefault="00336B0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336B08" w:rsidP="008423E4">
      <w:pPr>
        <w:tabs>
          <w:tab w:val="right" w:pos="9360"/>
        </w:tabs>
      </w:pPr>
    </w:p>
    <w:p w:rsidR="008423E4" w:rsidRDefault="00336B08" w:rsidP="008423E4"/>
    <w:p w:rsidR="008423E4" w:rsidRDefault="00336B0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40AEA" w:rsidTr="00345119">
        <w:tc>
          <w:tcPr>
            <w:tcW w:w="9576" w:type="dxa"/>
          </w:tcPr>
          <w:p w:rsidR="008423E4" w:rsidRPr="00A8133F" w:rsidRDefault="00336B08" w:rsidP="004B24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36B08" w:rsidP="004B2437"/>
          <w:p w:rsidR="002E1704" w:rsidRDefault="00336B08" w:rsidP="004B24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have been calls to provide updates to the law regarding guardianships, management trusts, and other procedures for persons who are incapacitated. </w:t>
            </w:r>
            <w:r>
              <w:t>C.S.</w:t>
            </w:r>
            <w:r>
              <w:t>H.B. 3543 seeks to make the law more consistent and clear by providing those updates.</w:t>
            </w:r>
          </w:p>
          <w:p w:rsidR="008423E4" w:rsidRPr="00E26B13" w:rsidRDefault="00336B08" w:rsidP="004B243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40AEA" w:rsidTr="00345119">
        <w:tc>
          <w:tcPr>
            <w:tcW w:w="9576" w:type="dxa"/>
          </w:tcPr>
          <w:p w:rsidR="0017725B" w:rsidRDefault="00336B08" w:rsidP="004B24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</w:t>
            </w:r>
            <w:r>
              <w:rPr>
                <w:b/>
                <w:u w:val="single"/>
              </w:rPr>
              <w:t>TICE IMPACT</w:t>
            </w:r>
          </w:p>
          <w:p w:rsidR="0017725B" w:rsidRDefault="00336B08" w:rsidP="004B2437">
            <w:pPr>
              <w:rPr>
                <w:b/>
                <w:u w:val="single"/>
              </w:rPr>
            </w:pPr>
          </w:p>
          <w:p w:rsidR="001E7102" w:rsidRPr="001E7102" w:rsidRDefault="00336B08" w:rsidP="004B243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</w:t>
            </w:r>
            <w:r>
              <w:t>e, or mandatory supervision.</w:t>
            </w:r>
          </w:p>
          <w:p w:rsidR="0017725B" w:rsidRPr="0017725B" w:rsidRDefault="00336B08" w:rsidP="004B2437">
            <w:pPr>
              <w:rPr>
                <w:b/>
                <w:u w:val="single"/>
              </w:rPr>
            </w:pPr>
          </w:p>
        </w:tc>
      </w:tr>
      <w:tr w:rsidR="00240AEA" w:rsidTr="00345119">
        <w:tc>
          <w:tcPr>
            <w:tcW w:w="9576" w:type="dxa"/>
          </w:tcPr>
          <w:p w:rsidR="008423E4" w:rsidRPr="00A8133F" w:rsidRDefault="00336B08" w:rsidP="004B24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36B08" w:rsidP="004B2437"/>
          <w:p w:rsidR="001E7102" w:rsidRDefault="00336B08" w:rsidP="004B24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336B08" w:rsidP="004B2437">
            <w:pPr>
              <w:rPr>
                <w:b/>
              </w:rPr>
            </w:pPr>
          </w:p>
        </w:tc>
      </w:tr>
      <w:tr w:rsidR="00240AEA" w:rsidTr="00345119">
        <w:tc>
          <w:tcPr>
            <w:tcW w:w="9576" w:type="dxa"/>
          </w:tcPr>
          <w:p w:rsidR="008423E4" w:rsidRPr="00A8133F" w:rsidRDefault="00336B08" w:rsidP="004B24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36B08" w:rsidP="004B2437"/>
          <w:p w:rsidR="00983FFD" w:rsidRDefault="00336B08" w:rsidP="004B24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3543 amends the </w:t>
            </w:r>
            <w:r>
              <w:t>Estates Code to</w:t>
            </w:r>
            <w:r>
              <w:t xml:space="preserve"> establish that, for the purposes of th</w:t>
            </w:r>
            <w:r>
              <w:t>e</w:t>
            </w:r>
            <w:r>
              <w:t xml:space="preserve"> </w:t>
            </w:r>
            <w:r>
              <w:t>c</w:t>
            </w:r>
            <w:r>
              <w:t xml:space="preserve">ode, in a county in which there is no statutory probate court but </w:t>
            </w:r>
            <w:r>
              <w:t xml:space="preserve">in which </w:t>
            </w:r>
            <w:r>
              <w:t xml:space="preserve">there is a county court at law exercising original probate jurisdiction, a matter related to a guardianship proceeding </w:t>
            </w:r>
            <w:r>
              <w:t>includes</w:t>
            </w:r>
            <w:r>
              <w:t>:</w:t>
            </w:r>
          </w:p>
          <w:p w:rsidR="008423E4" w:rsidRDefault="00336B08" w:rsidP="004B243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all matters and actions included</w:t>
            </w:r>
            <w:r>
              <w:t xml:space="preserve"> </w:t>
            </w:r>
            <w:r>
              <w:t>in a matter related to a guardian</w:t>
            </w:r>
            <w:r>
              <w:t>ship proceeding in a county in which there is no statutory probate court or count</w:t>
            </w:r>
            <w:r>
              <w:t>y</w:t>
            </w:r>
            <w:r>
              <w:t xml:space="preserve"> court of law exercising original probate jurisdiction;</w:t>
            </w:r>
          </w:p>
          <w:p w:rsidR="00983FFD" w:rsidRDefault="00336B08" w:rsidP="004B2437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interpretation and administration of a</w:t>
            </w:r>
            <w:r>
              <w:t xml:space="preserve"> testamentary trust in which a ward is an income or remainder beneficiary; and</w:t>
            </w:r>
          </w:p>
          <w:p w:rsidR="00983FFD" w:rsidRDefault="00336B08" w:rsidP="004B243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interpretation and administration of an inter vivos trust in which a ward is an income or remainder beneficiary.</w:t>
            </w:r>
          </w:p>
          <w:p w:rsidR="00F41861" w:rsidRDefault="00336B08" w:rsidP="004B2437">
            <w:pPr>
              <w:pStyle w:val="Header"/>
              <w:jc w:val="both"/>
            </w:pPr>
          </w:p>
          <w:p w:rsidR="00701412" w:rsidRDefault="00336B08" w:rsidP="004B2437">
            <w:pPr>
              <w:pStyle w:val="Header"/>
              <w:jc w:val="both"/>
            </w:pPr>
            <w:r>
              <w:t>C.S.</w:t>
            </w:r>
            <w:r>
              <w:t xml:space="preserve">H.B. 3543 </w:t>
            </w:r>
            <w:r>
              <w:t>includes those matters</w:t>
            </w:r>
            <w:r>
              <w:t>, actions, interpretati</w:t>
            </w:r>
            <w:r>
              <w:t xml:space="preserve">ons, and administrations </w:t>
            </w:r>
            <w:r>
              <w:t>among the matters related to a guardianship proceeding in a county in which there is a statutory probate court.</w:t>
            </w:r>
            <w:r>
              <w:t xml:space="preserve"> </w:t>
            </w:r>
          </w:p>
          <w:p w:rsidR="00701412" w:rsidRDefault="00336B08" w:rsidP="004B2437">
            <w:pPr>
              <w:pStyle w:val="Header"/>
              <w:jc w:val="both"/>
            </w:pPr>
          </w:p>
          <w:p w:rsidR="00360B76" w:rsidRDefault="00336B08" w:rsidP="004B2437">
            <w:pPr>
              <w:pStyle w:val="Header"/>
              <w:jc w:val="both"/>
            </w:pPr>
            <w:r>
              <w:t>C.S.</w:t>
            </w:r>
            <w:r>
              <w:t>H.B. 3543</w:t>
            </w:r>
            <w:r>
              <w:t xml:space="preserve"> removes an attorney ad litem </w:t>
            </w:r>
            <w:r>
              <w:t xml:space="preserve">as </w:t>
            </w:r>
            <w:r>
              <w:t xml:space="preserve">one of the persons a </w:t>
            </w:r>
            <w:r>
              <w:t xml:space="preserve">ward </w:t>
            </w:r>
            <w:r>
              <w:t>may</w:t>
            </w:r>
            <w:r>
              <w:t xml:space="preserve"> have appointed by a court to investigate a complaint received by the court from the ward or any person about the ward's guardianship.</w:t>
            </w:r>
            <w:r>
              <w:t xml:space="preserve"> The bill</w:t>
            </w:r>
            <w:r>
              <w:t xml:space="preserve">, with </w:t>
            </w:r>
            <w:r>
              <w:t xml:space="preserve">respect to </w:t>
            </w:r>
            <w:r>
              <w:t>a guardian</w:t>
            </w:r>
            <w:r>
              <w:t xml:space="preserve">'s duty to provide </w:t>
            </w:r>
            <w:r>
              <w:t xml:space="preserve">applicable newspaper </w:t>
            </w:r>
            <w:r>
              <w:t>notice</w:t>
            </w:r>
            <w:r>
              <w:t xml:space="preserve"> requiring each person who has a claim </w:t>
            </w:r>
            <w:r>
              <w:t xml:space="preserve">against the estate to present the claim within a certain period, removes the specification </w:t>
            </w:r>
            <w:r>
              <w:t>that the</w:t>
            </w:r>
            <w:r>
              <w:t xml:space="preserve"> </w:t>
            </w:r>
            <w:r>
              <w:t xml:space="preserve">newspaper </w:t>
            </w:r>
            <w:r>
              <w:t xml:space="preserve">is a newspaper printed in the county and specifies that the newspaper instead is </w:t>
            </w:r>
            <w:r>
              <w:t xml:space="preserve">a newspaper </w:t>
            </w:r>
            <w:r>
              <w:t>of general circulation in th</w:t>
            </w:r>
            <w:r>
              <w:t>at</w:t>
            </w:r>
            <w:r>
              <w:t xml:space="preserve"> county. </w:t>
            </w:r>
          </w:p>
          <w:p w:rsidR="00B4255D" w:rsidRDefault="00336B08" w:rsidP="004B2437">
            <w:pPr>
              <w:pStyle w:val="Header"/>
              <w:jc w:val="both"/>
            </w:pPr>
          </w:p>
          <w:p w:rsidR="003313E8" w:rsidRPr="003313E8" w:rsidRDefault="00336B08" w:rsidP="004B2437">
            <w:pPr>
              <w:jc w:val="both"/>
            </w:pPr>
            <w:r>
              <w:t>C.S.H.B. 354</w:t>
            </w:r>
            <w:r>
              <w:t>3 requires</w:t>
            </w:r>
            <w:r>
              <w:t xml:space="preserve"> notice</w:t>
            </w:r>
            <w:r>
              <w:t xml:space="preserve"> to be issued and served</w:t>
            </w:r>
            <w:r>
              <w:t>, on the filing of an application for creation of a management trust,</w:t>
            </w:r>
            <w:r>
              <w:t xml:space="preserve"> in the manner provided by applicable statutory provisions for the issuance and service of notice with regard to a</w:t>
            </w:r>
            <w:r>
              <w:t>n</w:t>
            </w:r>
            <w:r>
              <w:t xml:space="preserve"> application </w:t>
            </w:r>
            <w:r>
              <w:t xml:space="preserve">filed </w:t>
            </w:r>
            <w:r>
              <w:t xml:space="preserve">for </w:t>
            </w:r>
            <w:r>
              <w:t>guardianship</w:t>
            </w:r>
            <w:r>
              <w:t xml:space="preserve">. The bill establishes that it is not necessary </w:t>
            </w:r>
            <w:r w:rsidRPr="003313E8">
              <w:t>to serve a citation on a person who files an application for the creation of a management trust or for that person to waive the issuance and personal service of citation.</w:t>
            </w:r>
            <w:r>
              <w:t xml:space="preserve"> The bill requires a sheri</w:t>
            </w:r>
            <w:r>
              <w:t xml:space="preserve">ff or other officer, if the person for whom an application for the creation of a management trust is filed </w:t>
            </w:r>
            <w:r>
              <w:t>is a ward, to personally serve each guardian of the ward with citation to appear and answer the application</w:t>
            </w:r>
            <w:r>
              <w:t>, in addition to serving the persons descr</w:t>
            </w:r>
            <w:r>
              <w:t>ibed in the applicable statutory provisions regarding service of citation for an application for guardianship</w:t>
            </w:r>
            <w:r>
              <w:t>.</w:t>
            </w:r>
            <w:r>
              <w:t xml:space="preserve"> The bill establishes that notice </w:t>
            </w:r>
            <w:r>
              <w:t xml:space="preserve">under these provisions </w:t>
            </w:r>
            <w:r>
              <w:t xml:space="preserve">is not required if a proceeding for the appointment of a </w:t>
            </w:r>
            <w:r w:rsidRPr="00C86292">
              <w:t>guardian is pending for the pers</w:t>
            </w:r>
            <w:r w:rsidRPr="00C86292">
              <w:t>on for whom an application for creation of a management trust is filed.</w:t>
            </w:r>
            <w:r>
              <w:t xml:space="preserve"> </w:t>
            </w:r>
          </w:p>
          <w:p w:rsidR="003313E8" w:rsidRDefault="00336B08" w:rsidP="004B2437">
            <w:pPr>
              <w:pStyle w:val="Header"/>
              <w:jc w:val="both"/>
            </w:pPr>
          </w:p>
          <w:p w:rsidR="00B4255D" w:rsidRDefault="00336B08" w:rsidP="004B2437">
            <w:pPr>
              <w:pStyle w:val="Header"/>
              <w:jc w:val="both"/>
            </w:pPr>
            <w:r>
              <w:t>C.S.</w:t>
            </w:r>
            <w:r>
              <w:t xml:space="preserve">H.B. 3543 </w:t>
            </w:r>
            <w:r>
              <w:t xml:space="preserve">establishes that, if a management trust is created for a person who is a minor and is also incapacitated for a reason other than being a minor, the trust terminates on </w:t>
            </w:r>
            <w:r>
              <w:t xml:space="preserve">the person's death or when the person regains capacity. The bill </w:t>
            </w:r>
            <w:r>
              <w:t>requires a management trust for a ward or incapacitated person to provide that the trust terminates</w:t>
            </w:r>
            <w:r>
              <w:t xml:space="preserve"> on the following dates</w:t>
            </w:r>
            <w:r>
              <w:t>:</w:t>
            </w:r>
          </w:p>
          <w:p w:rsidR="00C86292" w:rsidRDefault="00336B08" w:rsidP="004B243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if the person is a minor</w:t>
            </w:r>
            <w:r>
              <w:t>,</w:t>
            </w:r>
            <w:r>
              <w:t xml:space="preserve"> either </w:t>
            </w:r>
            <w:r w:rsidRPr="00C86292">
              <w:t>on the date provided by court orde</w:t>
            </w:r>
            <w:r w:rsidRPr="00C86292">
              <w:t>r, which may not be later than the person's 25th birthday</w:t>
            </w:r>
            <w:r>
              <w:t>, or on the earlier of the person's death or the person's 18th birthday;</w:t>
            </w:r>
          </w:p>
          <w:p w:rsidR="00C86292" w:rsidRDefault="00336B08" w:rsidP="004B243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if the person is a minor and is also incapacitated for a reason other than being a minor, on the person's death or when the pe</w:t>
            </w:r>
            <w:r>
              <w:t>rson regains capacity;</w:t>
            </w:r>
            <w:r>
              <w:t xml:space="preserve"> or</w:t>
            </w:r>
          </w:p>
          <w:p w:rsidR="001D0406" w:rsidRDefault="00336B08" w:rsidP="004B243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if the person is not a minor: </w:t>
            </w:r>
          </w:p>
          <w:p w:rsidR="001D0406" w:rsidRDefault="00336B08" w:rsidP="004B243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according to the terms of the trust; </w:t>
            </w:r>
          </w:p>
          <w:p w:rsidR="001D0406" w:rsidRDefault="00336B08" w:rsidP="004B243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on the date the court determines that continuing the trust is no longer in the person's best interests, subject to the </w:t>
            </w:r>
            <w:r>
              <w:t xml:space="preserve">requirement for all </w:t>
            </w:r>
            <w:r>
              <w:t xml:space="preserve">property </w:t>
            </w:r>
            <w:r>
              <w:t>in the manage</w:t>
            </w:r>
            <w:r>
              <w:t>ment trust to be</w:t>
            </w:r>
            <w:r>
              <w:t xml:space="preserve"> transferred to the </w:t>
            </w:r>
            <w:r>
              <w:t xml:space="preserve">pooled trust </w:t>
            </w:r>
            <w:r>
              <w:t xml:space="preserve">subaccount; or </w:t>
            </w:r>
          </w:p>
          <w:p w:rsidR="00C86292" w:rsidRDefault="00336B08" w:rsidP="004B2437">
            <w:pPr>
              <w:pStyle w:val="Header"/>
              <w:numPr>
                <w:ilvl w:val="1"/>
                <w:numId w:val="2"/>
              </w:numPr>
              <w:jc w:val="both"/>
            </w:pPr>
            <w:r>
              <w:t>on the person's death.</w:t>
            </w:r>
          </w:p>
          <w:p w:rsidR="001D0406" w:rsidRDefault="00336B08" w:rsidP="004B2437">
            <w:pPr>
              <w:pStyle w:val="Header"/>
              <w:jc w:val="both"/>
            </w:pPr>
          </w:p>
          <w:p w:rsidR="005B3C86" w:rsidRDefault="00336B08" w:rsidP="004B2437">
            <w:pPr>
              <w:pStyle w:val="Header"/>
              <w:jc w:val="both"/>
            </w:pPr>
            <w:r>
              <w:t xml:space="preserve">C.S.H.B. 3543 </w:t>
            </w:r>
            <w:r>
              <w:t xml:space="preserve">clarifies that the trustee of </w:t>
            </w:r>
            <w:r>
              <w:t xml:space="preserve">a management trust </w:t>
            </w:r>
            <w:r>
              <w:t xml:space="preserve">created for a ward must </w:t>
            </w:r>
            <w:r>
              <w:t xml:space="preserve">provide a copy of the annual accounting of transactions in the trust </w:t>
            </w:r>
            <w:r>
              <w:t xml:space="preserve">to each </w:t>
            </w:r>
            <w:r>
              <w:t>gua</w:t>
            </w:r>
            <w:r>
              <w:t>rdian of the ward.</w:t>
            </w:r>
          </w:p>
          <w:p w:rsidR="005B3C86" w:rsidRDefault="00336B08" w:rsidP="004B2437">
            <w:pPr>
              <w:pStyle w:val="Header"/>
              <w:jc w:val="both"/>
            </w:pPr>
          </w:p>
          <w:p w:rsidR="005B3C86" w:rsidRDefault="00336B08" w:rsidP="004B2437">
            <w:pPr>
              <w:pStyle w:val="Header"/>
              <w:jc w:val="both"/>
            </w:pPr>
            <w:r>
              <w:t xml:space="preserve">C.S.H.B. 3543 </w:t>
            </w:r>
            <w:r>
              <w:t>clarifies that Estates Code provisions relat</w:t>
            </w:r>
            <w:r>
              <w:t>ing</w:t>
            </w:r>
            <w:r>
              <w:t xml:space="preserve"> to the payment of claims to a nonresident creditor apply only to </w:t>
            </w:r>
            <w:r>
              <w:t xml:space="preserve">a nonresident minor who has </w:t>
            </w:r>
            <w:r>
              <w:t>a nonresident guardian of the estate appointed by a foreign court</w:t>
            </w:r>
            <w:r>
              <w:t>,</w:t>
            </w:r>
            <w:r>
              <w:t xml:space="preserve"> </w:t>
            </w:r>
            <w:r>
              <w:t>a</w:t>
            </w:r>
            <w:r>
              <w:t xml:space="preserve"> nonresident </w:t>
            </w:r>
            <w:r>
              <w:t>person who is adjudged by a foreign court to be incapacitated and has a nonresident guardian of the estate appointed by that court</w:t>
            </w:r>
            <w:r>
              <w:t>,</w:t>
            </w:r>
            <w:r>
              <w:t xml:space="preserve"> or</w:t>
            </w:r>
            <w:r>
              <w:t xml:space="preserve"> a nonresident former ward of a terminated guardianship who has no legal guardian qualified in Texas</w:t>
            </w:r>
            <w:r>
              <w:t>.</w:t>
            </w:r>
            <w:r>
              <w:t xml:space="preserve"> </w:t>
            </w:r>
          </w:p>
          <w:p w:rsidR="005B3C86" w:rsidRDefault="00336B08" w:rsidP="004B2437">
            <w:pPr>
              <w:pStyle w:val="Header"/>
              <w:jc w:val="both"/>
            </w:pPr>
          </w:p>
          <w:p w:rsidR="004C6836" w:rsidRDefault="00336B08" w:rsidP="004B2437">
            <w:pPr>
              <w:pStyle w:val="Header"/>
              <w:jc w:val="both"/>
            </w:pPr>
            <w:r>
              <w:t>C.S.</w:t>
            </w:r>
            <w:r>
              <w:t xml:space="preserve">H.B. 3543 </w:t>
            </w:r>
            <w:r>
              <w:t xml:space="preserve">authorizes </w:t>
            </w:r>
            <w:r>
              <w:t>a nonresident guardian of an estate appointed by a foreign court for a creditor who is a nonresident minor or a nonresident person who is adjudged to be incapacitated</w:t>
            </w:r>
            <w:r>
              <w:t xml:space="preserve">, </w:t>
            </w:r>
            <w:r w:rsidRPr="00DC7980">
              <w:t>on presentation to the court clerk of an</w:t>
            </w:r>
            <w:r>
              <w:t xml:space="preserve"> applicable</w:t>
            </w:r>
            <w:r w:rsidRPr="00DC7980">
              <w:t xml:space="preserve"> order of a county or prob</w:t>
            </w:r>
            <w:r w:rsidRPr="00DC7980">
              <w:t>ate court of the county in which money is held</w:t>
            </w:r>
            <w:r>
              <w:t xml:space="preserve"> on behalf of </w:t>
            </w:r>
            <w:r>
              <w:t>the</w:t>
            </w:r>
            <w:r>
              <w:t xml:space="preserve"> creditor</w:t>
            </w:r>
            <w:r>
              <w:t>, to withdraw money that is not withdrawn by a</w:t>
            </w:r>
            <w:r>
              <w:t>n</w:t>
            </w:r>
            <w:r>
              <w:t xml:space="preserve"> </w:t>
            </w:r>
            <w:r>
              <w:t xml:space="preserve">authorized </w:t>
            </w:r>
            <w:r>
              <w:t xml:space="preserve">person. The bill authorizes the court to require a </w:t>
            </w:r>
            <w:r w:rsidRPr="00DC7980">
              <w:t xml:space="preserve">nonresident guardian of the estate of </w:t>
            </w:r>
            <w:r>
              <w:t>such</w:t>
            </w:r>
            <w:r w:rsidRPr="00DC7980">
              <w:t xml:space="preserve"> </w:t>
            </w:r>
            <w:r>
              <w:t xml:space="preserve">a </w:t>
            </w:r>
            <w:r w:rsidRPr="00DC7980">
              <w:t>creditor to provide proof tha</w:t>
            </w:r>
            <w:r w:rsidRPr="00DC7980">
              <w:t xml:space="preserve">t the nonresident guardian of the estate gave an adequate bond in the foreign jurisdiction if the court determines that it is in the </w:t>
            </w:r>
            <w:r>
              <w:t>creditor's</w:t>
            </w:r>
            <w:r w:rsidRPr="00DC7980">
              <w:t xml:space="preserve"> best interest.</w:t>
            </w:r>
            <w:r>
              <w:t xml:space="preserve"> </w:t>
            </w:r>
            <w:r>
              <w:t>T</w:t>
            </w:r>
            <w:r>
              <w:t xml:space="preserve">he bill requires a nonresident guardian to present to the court exemplified copies of the order </w:t>
            </w:r>
            <w:r>
              <w:t xml:space="preserve">of a foreign court appointing the guardian and current letters of guardianship issued in the foreign jurisdiction </w:t>
            </w:r>
            <w:r>
              <w:t xml:space="preserve">for purposes of proving the identity and credentials of the guardian to the court's satisfaction before the court </w:t>
            </w:r>
            <w:r>
              <w:t xml:space="preserve">may </w:t>
            </w:r>
            <w:r>
              <w:t>issue an order for money</w:t>
            </w:r>
            <w:r>
              <w:t xml:space="preserve"> to be withdrawn </w:t>
            </w:r>
            <w:r>
              <w:t>and delivered to the nonresident guardian</w:t>
            </w:r>
            <w:r>
              <w:t>.</w:t>
            </w:r>
          </w:p>
          <w:p w:rsidR="004C6836" w:rsidRDefault="00336B08" w:rsidP="004B2437">
            <w:pPr>
              <w:pStyle w:val="Header"/>
              <w:jc w:val="both"/>
            </w:pPr>
          </w:p>
          <w:p w:rsidR="00034C76" w:rsidRDefault="00336B08" w:rsidP="004B2437">
            <w:pPr>
              <w:pStyle w:val="Header"/>
              <w:jc w:val="both"/>
            </w:pPr>
            <w:r>
              <w:t>C.S.</w:t>
            </w:r>
            <w:r>
              <w:t>H.B. 3543 provides for the applicability of certain of its provisions with respect to a guardianship created before, on, or after the bill's effective date or an application for a guardianshi</w:t>
            </w:r>
            <w:r>
              <w:t>p pending on or filed on or after that date.</w:t>
            </w:r>
          </w:p>
          <w:p w:rsidR="008423E4" w:rsidRPr="00835628" w:rsidRDefault="00336B08" w:rsidP="004B2437">
            <w:pPr>
              <w:pStyle w:val="Header"/>
              <w:jc w:val="both"/>
            </w:pPr>
          </w:p>
        </w:tc>
      </w:tr>
      <w:tr w:rsidR="00240AEA" w:rsidTr="00345119">
        <w:tc>
          <w:tcPr>
            <w:tcW w:w="9576" w:type="dxa"/>
          </w:tcPr>
          <w:p w:rsidR="008423E4" w:rsidRPr="00A8133F" w:rsidRDefault="00336B08" w:rsidP="004B24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36B08" w:rsidP="004B2437"/>
          <w:p w:rsidR="008423E4" w:rsidRPr="003624F2" w:rsidRDefault="00336B08" w:rsidP="004B24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336B08" w:rsidP="004B2437">
            <w:pPr>
              <w:rPr>
                <w:b/>
              </w:rPr>
            </w:pPr>
          </w:p>
        </w:tc>
      </w:tr>
      <w:tr w:rsidR="00240AEA" w:rsidTr="00345119">
        <w:tc>
          <w:tcPr>
            <w:tcW w:w="9576" w:type="dxa"/>
          </w:tcPr>
          <w:p w:rsidR="0061059A" w:rsidRDefault="00336B08" w:rsidP="004B243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C7AD3" w:rsidRDefault="00336B08" w:rsidP="004B2437">
            <w:pPr>
              <w:jc w:val="both"/>
            </w:pPr>
          </w:p>
          <w:p w:rsidR="001C7AD3" w:rsidRDefault="00336B08" w:rsidP="004B2437">
            <w:pPr>
              <w:jc w:val="both"/>
            </w:pPr>
            <w:r>
              <w:t xml:space="preserve">While C.S.H.B. 3543 may differ from the original in minor or nonsubstantive ways, the following summarizes the substantial </w:t>
            </w:r>
            <w:r>
              <w:t>differences between the introduced and committee substitute versions of the bill.</w:t>
            </w:r>
          </w:p>
          <w:p w:rsidR="001C7AD3" w:rsidRDefault="00336B08" w:rsidP="004B2437">
            <w:pPr>
              <w:jc w:val="both"/>
            </w:pPr>
          </w:p>
          <w:p w:rsidR="001C7AD3" w:rsidRDefault="00336B08" w:rsidP="004B2437">
            <w:pPr>
              <w:jc w:val="both"/>
            </w:pPr>
            <w:r>
              <w:t>The substitute</w:t>
            </w:r>
            <w:r>
              <w:t xml:space="preserve"> does not include </w:t>
            </w:r>
            <w:r>
              <w:t>provisions</w:t>
            </w:r>
            <w:r>
              <w:t xml:space="preserve"> </w:t>
            </w:r>
            <w:r>
              <w:t xml:space="preserve">conditioning the requirement for a court to </w:t>
            </w:r>
            <w:r>
              <w:t>order the costs of a guardianship proceeding</w:t>
            </w:r>
            <w:r>
              <w:t xml:space="preserve"> </w:t>
            </w:r>
            <w:r>
              <w:t>to be paid out of the guardianship estate</w:t>
            </w:r>
            <w:r>
              <w:t xml:space="preserve"> </w:t>
            </w:r>
            <w:r>
              <w:t xml:space="preserve">or out of the county treasury </w:t>
            </w:r>
            <w:r>
              <w:t>on a certain determination by the court</w:t>
            </w:r>
            <w:r>
              <w:t xml:space="preserve"> </w:t>
            </w:r>
            <w:r>
              <w:t xml:space="preserve">regarding whether it is in the ward's best interest to pay the costs, provided </w:t>
            </w:r>
            <w:r>
              <w:t xml:space="preserve">a guardianship of </w:t>
            </w:r>
            <w:r>
              <w:t>the</w:t>
            </w:r>
            <w:r>
              <w:t xml:space="preserve"> estate has been created for the</w:t>
            </w:r>
            <w:r>
              <w:t xml:space="preserve"> ward's</w:t>
            </w:r>
            <w:r>
              <w:t xml:space="preserve"> benefit</w:t>
            </w:r>
            <w:r>
              <w:t>.</w:t>
            </w:r>
            <w:r>
              <w:t xml:space="preserve"> </w:t>
            </w:r>
          </w:p>
          <w:p w:rsidR="001C7AD3" w:rsidRPr="001C7AD3" w:rsidRDefault="00336B08" w:rsidP="004B2437">
            <w:pPr>
              <w:jc w:val="both"/>
            </w:pPr>
          </w:p>
        </w:tc>
      </w:tr>
      <w:tr w:rsidR="00240AEA" w:rsidTr="00345119">
        <w:tc>
          <w:tcPr>
            <w:tcW w:w="9576" w:type="dxa"/>
          </w:tcPr>
          <w:p w:rsidR="0061059A" w:rsidRPr="009C1E9A" w:rsidRDefault="00336B08" w:rsidP="004B2437">
            <w:pPr>
              <w:rPr>
                <w:b/>
                <w:u w:val="single"/>
              </w:rPr>
            </w:pPr>
          </w:p>
        </w:tc>
      </w:tr>
      <w:tr w:rsidR="00240AEA" w:rsidTr="00345119">
        <w:tc>
          <w:tcPr>
            <w:tcW w:w="9576" w:type="dxa"/>
          </w:tcPr>
          <w:p w:rsidR="0061059A" w:rsidRPr="0061059A" w:rsidRDefault="00336B08" w:rsidP="004B2437">
            <w:pPr>
              <w:jc w:val="both"/>
            </w:pPr>
          </w:p>
        </w:tc>
      </w:tr>
    </w:tbl>
    <w:p w:rsidR="008423E4" w:rsidRPr="00BE0E75" w:rsidRDefault="00336B0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36B0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6B08">
      <w:r>
        <w:separator/>
      </w:r>
    </w:p>
  </w:endnote>
  <w:endnote w:type="continuationSeparator" w:id="0">
    <w:p w:rsidR="00000000" w:rsidRDefault="0033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4D" w:rsidRDefault="0033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40AEA" w:rsidTr="009C1E9A">
      <w:trPr>
        <w:cantSplit/>
      </w:trPr>
      <w:tc>
        <w:tcPr>
          <w:tcW w:w="0" w:type="pct"/>
        </w:tcPr>
        <w:p w:rsidR="00137D90" w:rsidRDefault="00336B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36B0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Pr="004B2437" w:rsidRDefault="00336B08" w:rsidP="009C1E9A">
          <w:pPr>
            <w:pStyle w:val="Footer"/>
            <w:tabs>
              <w:tab w:val="clear" w:pos="8640"/>
              <w:tab w:val="right" w:pos="9360"/>
            </w:tabs>
            <w:rPr>
              <w:sz w:val="4"/>
            </w:rPr>
          </w:pPr>
        </w:p>
        <w:p w:rsidR="00137D90" w:rsidRDefault="00336B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36B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0AEA" w:rsidTr="009C1E9A">
      <w:trPr>
        <w:cantSplit/>
      </w:trPr>
      <w:tc>
        <w:tcPr>
          <w:tcW w:w="0" w:type="pct"/>
        </w:tcPr>
        <w:p w:rsidR="00EC379B" w:rsidRDefault="00336B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36B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28441</w:t>
          </w:r>
        </w:p>
      </w:tc>
      <w:tc>
        <w:tcPr>
          <w:tcW w:w="2453" w:type="pct"/>
        </w:tcPr>
        <w:p w:rsidR="00EC379B" w:rsidRDefault="00336B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19.108.1103</w:t>
          </w:r>
          <w:r>
            <w:fldChar w:fldCharType="end"/>
          </w:r>
        </w:p>
      </w:tc>
    </w:tr>
    <w:tr w:rsidR="00240AEA" w:rsidTr="009C1E9A">
      <w:trPr>
        <w:cantSplit/>
      </w:trPr>
      <w:tc>
        <w:tcPr>
          <w:tcW w:w="0" w:type="pct"/>
        </w:tcPr>
        <w:p w:rsidR="00EC379B" w:rsidRDefault="00336B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36B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25211</w:t>
          </w:r>
        </w:p>
      </w:tc>
      <w:tc>
        <w:tcPr>
          <w:tcW w:w="2453" w:type="pct"/>
        </w:tcPr>
        <w:p w:rsidR="00EC379B" w:rsidRDefault="00336B08" w:rsidP="006D504F">
          <w:pPr>
            <w:pStyle w:val="Footer"/>
            <w:rPr>
              <w:rStyle w:val="PageNumber"/>
            </w:rPr>
          </w:pPr>
        </w:p>
        <w:p w:rsidR="00EC379B" w:rsidRDefault="00336B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0AE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36B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:rsidR="00EC379B" w:rsidRDefault="00336B0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36B0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4D" w:rsidRDefault="0033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6B08">
      <w:r>
        <w:separator/>
      </w:r>
    </w:p>
  </w:footnote>
  <w:footnote w:type="continuationSeparator" w:id="0">
    <w:p w:rsidR="00000000" w:rsidRDefault="0033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4D" w:rsidRDefault="00336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4D" w:rsidRDefault="00336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4D" w:rsidRDefault="00336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68A"/>
    <w:multiLevelType w:val="hybridMultilevel"/>
    <w:tmpl w:val="489843BA"/>
    <w:lvl w:ilvl="0" w:tplc="DDB0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AA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0B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4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3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AC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08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CA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4C90"/>
    <w:multiLevelType w:val="hybridMultilevel"/>
    <w:tmpl w:val="D9AE64F2"/>
    <w:lvl w:ilvl="0" w:tplc="B4363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E9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EC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5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D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2D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C5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4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88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EA"/>
    <w:rsid w:val="00240AEA"/>
    <w:rsid w:val="003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E8464-8C6C-41E5-8068-9306CCF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6E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6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6E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6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6EBA"/>
    <w:rPr>
      <w:b/>
      <w:bCs/>
    </w:rPr>
  </w:style>
  <w:style w:type="character" w:styleId="Hyperlink">
    <w:name w:val="Hyperlink"/>
    <w:basedOn w:val="DefaultParagraphFont"/>
    <w:unhideWhenUsed/>
    <w:rsid w:val="005A46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313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014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5994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HB03543 (Committee Report (Substituted))</vt:lpstr>
    </vt:vector>
  </TitlesOfParts>
  <Company>State of Texas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28441</dc:subject>
  <dc:creator>State of Texas</dc:creator>
  <dc:description>HB 3543 by Thompson, Senfronia-(H)Judiciary &amp; Civil Jurisprudence (Substitute Document Number: 86R 25211)</dc:description>
  <cp:lastModifiedBy>Stacey Nicchio</cp:lastModifiedBy>
  <cp:revision>2</cp:revision>
  <cp:lastPrinted>2019-04-03T20:05:00Z</cp:lastPrinted>
  <dcterms:created xsi:type="dcterms:W3CDTF">2019-04-26T23:10:00Z</dcterms:created>
  <dcterms:modified xsi:type="dcterms:W3CDTF">2019-04-26T23:10:00Z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19.108.1103</vt:lpwstr>
  </property>
</Properties>
</file>