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94DE0" w:rsidTr="00345119">
        <w:tc>
          <w:tcPr>
            <w:tcW w:w="9576" w:type="dxa"/>
            <w:noWrap/>
          </w:tcPr>
          <w:p w:rsidR="008423E4" w:rsidRPr="0022177D" w:rsidRDefault="00323B5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23B58" w:rsidP="008423E4">
      <w:pPr>
        <w:jc w:val="center"/>
      </w:pPr>
    </w:p>
    <w:p w:rsidR="008423E4" w:rsidRPr="00B31F0E" w:rsidRDefault="00323B58" w:rsidP="008423E4"/>
    <w:p w:rsidR="008423E4" w:rsidRPr="00742794" w:rsidRDefault="00323B5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4DE0" w:rsidTr="00345119">
        <w:tc>
          <w:tcPr>
            <w:tcW w:w="9576" w:type="dxa"/>
          </w:tcPr>
          <w:p w:rsidR="008423E4" w:rsidRPr="00861995" w:rsidRDefault="00323B58" w:rsidP="00345119">
            <w:pPr>
              <w:jc w:val="right"/>
            </w:pPr>
            <w:r>
              <w:t>C.S.H.B. 3554</w:t>
            </w:r>
          </w:p>
        </w:tc>
      </w:tr>
      <w:tr w:rsidR="00194DE0" w:rsidTr="00345119">
        <w:tc>
          <w:tcPr>
            <w:tcW w:w="9576" w:type="dxa"/>
          </w:tcPr>
          <w:p w:rsidR="008423E4" w:rsidRPr="00861995" w:rsidRDefault="00323B58" w:rsidP="001D67D9">
            <w:pPr>
              <w:jc w:val="right"/>
            </w:pPr>
            <w:r>
              <w:t xml:space="preserve">By: </w:t>
            </w:r>
            <w:r>
              <w:t>Farrar</w:t>
            </w:r>
          </w:p>
        </w:tc>
      </w:tr>
      <w:tr w:rsidR="00194DE0" w:rsidTr="00345119">
        <w:tc>
          <w:tcPr>
            <w:tcW w:w="9576" w:type="dxa"/>
          </w:tcPr>
          <w:p w:rsidR="008423E4" w:rsidRPr="00861995" w:rsidRDefault="00323B58" w:rsidP="00345119">
            <w:pPr>
              <w:jc w:val="right"/>
            </w:pPr>
            <w:r>
              <w:t>Criminal Jurisprudence</w:t>
            </w:r>
          </w:p>
        </w:tc>
      </w:tr>
      <w:tr w:rsidR="00194DE0" w:rsidTr="00345119">
        <w:tc>
          <w:tcPr>
            <w:tcW w:w="9576" w:type="dxa"/>
          </w:tcPr>
          <w:p w:rsidR="008423E4" w:rsidRDefault="00323B5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23B58" w:rsidP="008423E4">
      <w:pPr>
        <w:tabs>
          <w:tab w:val="right" w:pos="9360"/>
        </w:tabs>
      </w:pPr>
    </w:p>
    <w:p w:rsidR="008423E4" w:rsidRDefault="00323B58" w:rsidP="008423E4"/>
    <w:p w:rsidR="008423E4" w:rsidRDefault="00323B5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94DE0" w:rsidTr="00345119">
        <w:tc>
          <w:tcPr>
            <w:tcW w:w="9576" w:type="dxa"/>
          </w:tcPr>
          <w:p w:rsidR="008423E4" w:rsidRPr="00A8133F" w:rsidRDefault="00323B58" w:rsidP="00FF372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23B58" w:rsidP="00FF372F"/>
          <w:p w:rsidR="008423E4" w:rsidRDefault="00323B58" w:rsidP="00FF37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</w:t>
            </w:r>
            <w:r>
              <w:t xml:space="preserve">suggested that </w:t>
            </w:r>
            <w:r>
              <w:t xml:space="preserve">there is a need to </w:t>
            </w:r>
            <w:r>
              <w:t>revise</w:t>
            </w:r>
            <w:r>
              <w:t xml:space="preserve"> state law relating to the inadmissibility</w:t>
            </w:r>
            <w:r>
              <w:t xml:space="preserve"> </w:t>
            </w:r>
            <w:r>
              <w:t xml:space="preserve">of </w:t>
            </w:r>
            <w:r>
              <w:t xml:space="preserve">certain </w:t>
            </w:r>
            <w:r>
              <w:t xml:space="preserve">forensic analyses of evidence conducted by an unaccredited crime laboratory and associated testimony </w:t>
            </w:r>
            <w:r>
              <w:t xml:space="preserve">in a criminal case </w:t>
            </w:r>
            <w:r>
              <w:t xml:space="preserve">to </w:t>
            </w:r>
            <w:r>
              <w:t xml:space="preserve">make </w:t>
            </w:r>
            <w:r>
              <w:t xml:space="preserve">the </w:t>
            </w:r>
            <w:r>
              <w:t xml:space="preserve">accreditation requirement applicable </w:t>
            </w:r>
            <w:r>
              <w:t>only</w:t>
            </w:r>
            <w:r>
              <w:t xml:space="preserve"> to </w:t>
            </w:r>
            <w:r>
              <w:t xml:space="preserve">the </w:t>
            </w:r>
            <w:r>
              <w:t xml:space="preserve">analysis and </w:t>
            </w:r>
            <w:r>
              <w:t>not to related expert testimony</w:t>
            </w:r>
            <w:r>
              <w:t xml:space="preserve">. </w:t>
            </w:r>
            <w:r>
              <w:t>C.S.</w:t>
            </w:r>
            <w:r>
              <w:t xml:space="preserve">H.B. 3554 seeks to </w:t>
            </w:r>
            <w:r>
              <w:t>provid</w:t>
            </w:r>
            <w:r>
              <w:t xml:space="preserve">e such </w:t>
            </w:r>
            <w:r>
              <w:t xml:space="preserve">a revision </w:t>
            </w:r>
            <w:r>
              <w:t xml:space="preserve">and to </w:t>
            </w:r>
            <w:r>
              <w:t>establish the corresponding duty of the Texas Forensic Science Commission to investigate professional negligence or professional misconduct by an expert witness</w:t>
            </w:r>
            <w:r>
              <w:t>.</w:t>
            </w:r>
            <w:r>
              <w:t xml:space="preserve"> </w:t>
            </w:r>
          </w:p>
          <w:p w:rsidR="008423E4" w:rsidRPr="00E26B13" w:rsidRDefault="00323B58" w:rsidP="00FF372F">
            <w:pPr>
              <w:rPr>
                <w:b/>
              </w:rPr>
            </w:pPr>
          </w:p>
        </w:tc>
      </w:tr>
      <w:tr w:rsidR="00194DE0" w:rsidTr="00345119">
        <w:tc>
          <w:tcPr>
            <w:tcW w:w="9576" w:type="dxa"/>
          </w:tcPr>
          <w:p w:rsidR="0017725B" w:rsidRDefault="00323B58" w:rsidP="00FF37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23B58" w:rsidP="00FF372F">
            <w:pPr>
              <w:rPr>
                <w:b/>
                <w:u w:val="single"/>
              </w:rPr>
            </w:pPr>
          </w:p>
          <w:p w:rsidR="00B210D3" w:rsidRPr="00B210D3" w:rsidRDefault="00323B58" w:rsidP="00FF372F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23B58" w:rsidP="00FF372F">
            <w:pPr>
              <w:rPr>
                <w:b/>
                <w:u w:val="single"/>
              </w:rPr>
            </w:pPr>
          </w:p>
        </w:tc>
      </w:tr>
      <w:tr w:rsidR="00194DE0" w:rsidTr="00345119">
        <w:tc>
          <w:tcPr>
            <w:tcW w:w="9576" w:type="dxa"/>
          </w:tcPr>
          <w:p w:rsidR="008423E4" w:rsidRPr="00A8133F" w:rsidRDefault="00323B58" w:rsidP="00FF372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23B58" w:rsidP="00FF372F"/>
          <w:p w:rsidR="00B210D3" w:rsidRDefault="00323B58" w:rsidP="00FF37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23B58" w:rsidP="00FF372F">
            <w:pPr>
              <w:rPr>
                <w:b/>
              </w:rPr>
            </w:pPr>
          </w:p>
        </w:tc>
      </w:tr>
      <w:tr w:rsidR="00194DE0" w:rsidTr="00345119">
        <w:tc>
          <w:tcPr>
            <w:tcW w:w="9576" w:type="dxa"/>
          </w:tcPr>
          <w:p w:rsidR="008423E4" w:rsidRPr="00A8133F" w:rsidRDefault="00323B58" w:rsidP="00FF372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23B58" w:rsidP="00FF372F"/>
          <w:p w:rsidR="008423E4" w:rsidRDefault="00323B58" w:rsidP="00FF37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3554 amends the Code of Criminal Procedure to </w:t>
            </w:r>
            <w:r>
              <w:t xml:space="preserve">require the Texas </w:t>
            </w:r>
            <w:r>
              <w:t>Forensic Science Commission</w:t>
            </w:r>
            <w:r>
              <w:t xml:space="preserve"> </w:t>
            </w:r>
            <w:r>
              <w:t xml:space="preserve">to investigate professional negligence or professional misconduct by an expert witness relating to a forensic analysis conducted by a crime laboratory. </w:t>
            </w:r>
            <w:r>
              <w:t xml:space="preserve">The bill </w:t>
            </w:r>
            <w:r>
              <w:t>limit</w:t>
            </w:r>
            <w:r>
              <w:t>s the applicability of</w:t>
            </w:r>
            <w:r>
              <w:t xml:space="preserve"> </w:t>
            </w:r>
            <w:r>
              <w:t xml:space="preserve">provisions relating to </w:t>
            </w:r>
            <w:r>
              <w:t>the inadmissibil</w:t>
            </w:r>
            <w:r>
              <w:t xml:space="preserve">ity in a criminal action of </w:t>
            </w:r>
            <w:r>
              <w:t xml:space="preserve">a </w:t>
            </w:r>
            <w:r>
              <w:t xml:space="preserve">forensic </w:t>
            </w:r>
            <w:r>
              <w:t xml:space="preserve">analysis </w:t>
            </w:r>
            <w:r>
              <w:t>of physical evidence conducted by a</w:t>
            </w:r>
            <w:r>
              <w:t xml:space="preserve"> crime laboratory </w:t>
            </w:r>
            <w:r>
              <w:t>that was not</w:t>
            </w:r>
            <w:r>
              <w:t xml:space="preserve"> </w:t>
            </w:r>
            <w:r>
              <w:t xml:space="preserve">accredited </w:t>
            </w:r>
            <w:r>
              <w:t xml:space="preserve">by the commission </w:t>
            </w:r>
            <w:r>
              <w:t xml:space="preserve">at the time of </w:t>
            </w:r>
            <w:r>
              <w:t xml:space="preserve">the </w:t>
            </w:r>
            <w:r>
              <w:t>analysis</w:t>
            </w:r>
            <w:r>
              <w:t xml:space="preserve"> to </w:t>
            </w:r>
            <w:r>
              <w:t xml:space="preserve">the </w:t>
            </w:r>
            <w:r>
              <w:t xml:space="preserve">analysis </w:t>
            </w:r>
            <w:r>
              <w:t xml:space="preserve">itself </w:t>
            </w:r>
            <w:r>
              <w:t xml:space="preserve">and </w:t>
            </w:r>
            <w:r>
              <w:t xml:space="preserve">removes language making expert testimony relating to </w:t>
            </w:r>
            <w:r>
              <w:t>such</w:t>
            </w:r>
            <w:r>
              <w:t xml:space="preserve"> </w:t>
            </w:r>
            <w:r>
              <w:t>evidence inadmissible</w:t>
            </w:r>
            <w:r>
              <w:t xml:space="preserve">. </w:t>
            </w:r>
            <w:r>
              <w:t xml:space="preserve">The bill </w:t>
            </w:r>
            <w:r>
              <w:t xml:space="preserve">exempts expert testimony under </w:t>
            </w:r>
            <w:r>
              <w:t xml:space="preserve">the </w:t>
            </w:r>
            <w:r>
              <w:t>Texas Rules of Evidence regarding the forensic analysis of physical evidence performed by an accredited crime laboratory from</w:t>
            </w:r>
            <w:r>
              <w:t xml:space="preserve"> provisions relating to the admissibility of forensic analysis of evidence</w:t>
            </w:r>
            <w:r>
              <w:t xml:space="preserve"> but establishes that those provisions do</w:t>
            </w:r>
            <w:r>
              <w:t xml:space="preserve"> not limit the commission's duty to investigate professional negligence or professional misconduct by an expert witness relating to </w:t>
            </w:r>
            <w:r>
              <w:t xml:space="preserve">such </w:t>
            </w:r>
            <w:r>
              <w:t>a fo</w:t>
            </w:r>
            <w:r>
              <w:t xml:space="preserve">rensic analysis, including negligence or misconduct affecting the testimony of the witness. </w:t>
            </w:r>
            <w:r>
              <w:t xml:space="preserve">               </w:t>
            </w:r>
          </w:p>
          <w:p w:rsidR="008423E4" w:rsidRPr="00835628" w:rsidRDefault="00323B58" w:rsidP="00FF372F">
            <w:pPr>
              <w:rPr>
                <w:b/>
              </w:rPr>
            </w:pPr>
          </w:p>
        </w:tc>
      </w:tr>
      <w:tr w:rsidR="00194DE0" w:rsidTr="00345119">
        <w:tc>
          <w:tcPr>
            <w:tcW w:w="9576" w:type="dxa"/>
          </w:tcPr>
          <w:p w:rsidR="008423E4" w:rsidRPr="00A8133F" w:rsidRDefault="00323B58" w:rsidP="00FF372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23B58" w:rsidP="00FF372F"/>
          <w:p w:rsidR="008423E4" w:rsidRPr="003624F2" w:rsidRDefault="00323B58" w:rsidP="00FF37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23B58" w:rsidP="00FF372F">
            <w:pPr>
              <w:rPr>
                <w:b/>
              </w:rPr>
            </w:pPr>
          </w:p>
        </w:tc>
      </w:tr>
      <w:tr w:rsidR="00194DE0" w:rsidTr="00345119">
        <w:tc>
          <w:tcPr>
            <w:tcW w:w="9576" w:type="dxa"/>
          </w:tcPr>
          <w:p w:rsidR="001D67D9" w:rsidRDefault="00323B58" w:rsidP="00FF372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11C8C" w:rsidRDefault="00323B58" w:rsidP="00FF372F">
            <w:pPr>
              <w:jc w:val="both"/>
            </w:pPr>
          </w:p>
          <w:p w:rsidR="00D11C8C" w:rsidRDefault="00323B58" w:rsidP="00FF372F">
            <w:pPr>
              <w:jc w:val="both"/>
            </w:pPr>
            <w:r>
              <w:t xml:space="preserve">While C.S.H.B. </w:t>
            </w:r>
            <w:r>
              <w:t>3554</w:t>
            </w:r>
            <w:r>
              <w:t xml:space="preserve"> may differ from the original in minor or nonsubst</w:t>
            </w:r>
            <w:r>
              <w:t>antive ways, the following summarizes the substantial differences between the introduced and committee substitute versions of the bill.</w:t>
            </w:r>
          </w:p>
          <w:p w:rsidR="00AB4660" w:rsidRDefault="00323B58" w:rsidP="00FF372F">
            <w:pPr>
              <w:jc w:val="both"/>
            </w:pPr>
          </w:p>
          <w:p w:rsidR="00AB4660" w:rsidRDefault="00323B58" w:rsidP="00FF372F">
            <w:pPr>
              <w:jc w:val="both"/>
            </w:pPr>
            <w:r>
              <w:t>The substitute includes a requirement for the commission to investigate professional negligence or professional miscond</w:t>
            </w:r>
            <w:r>
              <w:t>uct by an expert witness relating to a forensic analysis conducted by a crime laboratory.</w:t>
            </w:r>
          </w:p>
          <w:p w:rsidR="00AB4660" w:rsidRDefault="00323B58" w:rsidP="00FF372F">
            <w:pPr>
              <w:jc w:val="both"/>
            </w:pPr>
          </w:p>
          <w:p w:rsidR="00AB4660" w:rsidRDefault="00323B58" w:rsidP="00FF372F">
            <w:pPr>
              <w:jc w:val="both"/>
            </w:pPr>
            <w:r>
              <w:t xml:space="preserve">The substitute </w:t>
            </w:r>
            <w:r>
              <w:t>includes an exception of</w:t>
            </w:r>
            <w:r>
              <w:t xml:space="preserve"> expert testimony under the Texas Rules of Evidence regarding analysis of evidence by an accredited laboratory from provisions</w:t>
            </w:r>
            <w:r>
              <w:t xml:space="preserve"> relating to the admissibility of forensic evidence in criminal actions</w:t>
            </w:r>
            <w:r>
              <w:t xml:space="preserve"> and includes a provision establishing that </w:t>
            </w:r>
            <w:r>
              <w:t xml:space="preserve">those provisions do not limit </w:t>
            </w:r>
            <w:r>
              <w:t>the commission's duty to investigate professional negligence or misconduct.</w:t>
            </w:r>
          </w:p>
          <w:p w:rsidR="00AB4660" w:rsidRDefault="00323B58" w:rsidP="00FF372F">
            <w:pPr>
              <w:jc w:val="both"/>
            </w:pPr>
          </w:p>
          <w:p w:rsidR="00AB4660" w:rsidRDefault="00323B58" w:rsidP="00FF372F">
            <w:pPr>
              <w:jc w:val="both"/>
            </w:pPr>
            <w:r>
              <w:t xml:space="preserve">The substitute does not include a provision </w:t>
            </w:r>
            <w:r>
              <w:t>making</w:t>
            </w:r>
            <w:r>
              <w:t xml:space="preserve"> evidence that a crime laboratory holds a certificate of accreditation </w:t>
            </w:r>
            <w:r>
              <w:t>in</w:t>
            </w:r>
            <w:r>
              <w:t>admissible in a criminal action for the purpose of establishing the validity of a forensic analysis performed by the laboratory.</w:t>
            </w:r>
          </w:p>
          <w:p w:rsidR="00627B24" w:rsidRDefault="00323B58" w:rsidP="00FF372F">
            <w:pPr>
              <w:jc w:val="both"/>
            </w:pPr>
          </w:p>
          <w:p w:rsidR="00627B24" w:rsidRDefault="00323B58" w:rsidP="00FF372F">
            <w:pPr>
              <w:jc w:val="both"/>
            </w:pPr>
            <w:r>
              <w:t>The</w:t>
            </w:r>
            <w:r>
              <w:t xml:space="preserve"> substitute makes the following changes with regard to the </w:t>
            </w:r>
            <w:r w:rsidRPr="00627B24">
              <w:t>inadmissibility of a forensic analysis of physical evidence conducted by a crime laboratory that was not accredited at the time of the analysis</w:t>
            </w:r>
            <w:r>
              <w:t>:</w:t>
            </w:r>
          </w:p>
          <w:p w:rsidR="00627B24" w:rsidRDefault="00323B58" w:rsidP="00FF372F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 xml:space="preserve">does not </w:t>
            </w:r>
            <w:r>
              <w:t>include a condition that</w:t>
            </w:r>
            <w:r>
              <w:t xml:space="preserve"> the analysis and r</w:t>
            </w:r>
            <w:r>
              <w:t xml:space="preserve">elated expert testimony </w:t>
            </w:r>
            <w:r>
              <w:t xml:space="preserve">are </w:t>
            </w:r>
            <w:r>
              <w:t>inadmissible if presented by the state;</w:t>
            </w:r>
            <w:r>
              <w:t xml:space="preserve"> and</w:t>
            </w:r>
          </w:p>
          <w:p w:rsidR="00627B24" w:rsidRDefault="00323B58" w:rsidP="00FF372F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limits the inadmissibility instead to the forensic analysis only, excluding the related expert testimony.</w:t>
            </w:r>
          </w:p>
          <w:p w:rsidR="00D11C8C" w:rsidRPr="00D11C8C" w:rsidRDefault="00323B58" w:rsidP="00FF372F">
            <w:pPr>
              <w:jc w:val="both"/>
            </w:pPr>
          </w:p>
        </w:tc>
      </w:tr>
      <w:tr w:rsidR="00194DE0" w:rsidTr="00345119">
        <w:tc>
          <w:tcPr>
            <w:tcW w:w="9576" w:type="dxa"/>
          </w:tcPr>
          <w:p w:rsidR="001D67D9" w:rsidRPr="009C1E9A" w:rsidRDefault="00323B58" w:rsidP="00FF372F">
            <w:pPr>
              <w:rPr>
                <w:b/>
                <w:u w:val="single"/>
              </w:rPr>
            </w:pPr>
          </w:p>
        </w:tc>
      </w:tr>
      <w:tr w:rsidR="00194DE0" w:rsidTr="00345119">
        <w:tc>
          <w:tcPr>
            <w:tcW w:w="9576" w:type="dxa"/>
          </w:tcPr>
          <w:p w:rsidR="001D67D9" w:rsidRPr="001D67D9" w:rsidRDefault="00323B58" w:rsidP="00FF372F">
            <w:pPr>
              <w:jc w:val="both"/>
            </w:pPr>
          </w:p>
        </w:tc>
      </w:tr>
    </w:tbl>
    <w:p w:rsidR="008423E4" w:rsidRPr="00BE0E75" w:rsidRDefault="00323B5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23B5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3B58">
      <w:r>
        <w:separator/>
      </w:r>
    </w:p>
  </w:endnote>
  <w:endnote w:type="continuationSeparator" w:id="0">
    <w:p w:rsidR="00000000" w:rsidRDefault="0032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3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4DE0" w:rsidTr="009C1E9A">
      <w:trPr>
        <w:cantSplit/>
      </w:trPr>
      <w:tc>
        <w:tcPr>
          <w:tcW w:w="0" w:type="pct"/>
        </w:tcPr>
        <w:p w:rsidR="00137D90" w:rsidRDefault="00323B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23B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23B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23B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23B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4DE0" w:rsidTr="009C1E9A">
      <w:trPr>
        <w:cantSplit/>
      </w:trPr>
      <w:tc>
        <w:tcPr>
          <w:tcW w:w="0" w:type="pct"/>
        </w:tcPr>
        <w:p w:rsidR="00EC379B" w:rsidRDefault="00323B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23B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28215</w:t>
          </w:r>
        </w:p>
      </w:tc>
      <w:tc>
        <w:tcPr>
          <w:tcW w:w="2453" w:type="pct"/>
        </w:tcPr>
        <w:p w:rsidR="00EC379B" w:rsidRDefault="00323B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19.108.174</w:t>
          </w:r>
          <w:r>
            <w:fldChar w:fldCharType="end"/>
          </w:r>
        </w:p>
      </w:tc>
    </w:tr>
    <w:tr w:rsidR="00194DE0" w:rsidTr="009C1E9A">
      <w:trPr>
        <w:cantSplit/>
      </w:trPr>
      <w:tc>
        <w:tcPr>
          <w:tcW w:w="0" w:type="pct"/>
        </w:tcPr>
        <w:p w:rsidR="00EC379B" w:rsidRDefault="00323B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23B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23080</w:t>
          </w:r>
        </w:p>
      </w:tc>
      <w:tc>
        <w:tcPr>
          <w:tcW w:w="2453" w:type="pct"/>
        </w:tcPr>
        <w:p w:rsidR="00EC379B" w:rsidRDefault="00323B58" w:rsidP="006D504F">
          <w:pPr>
            <w:pStyle w:val="Footer"/>
            <w:rPr>
              <w:rStyle w:val="PageNumber"/>
            </w:rPr>
          </w:pPr>
        </w:p>
        <w:p w:rsidR="00EC379B" w:rsidRDefault="00323B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4DE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23B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323B5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23B5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3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3B58">
      <w:r>
        <w:separator/>
      </w:r>
    </w:p>
  </w:footnote>
  <w:footnote w:type="continuationSeparator" w:id="0">
    <w:p w:rsidR="00000000" w:rsidRDefault="0032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3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3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3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5D9"/>
    <w:multiLevelType w:val="hybridMultilevel"/>
    <w:tmpl w:val="AA505300"/>
    <w:lvl w:ilvl="0" w:tplc="B92E8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544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A9A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0E6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64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4F4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8D1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C4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01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E0"/>
    <w:rsid w:val="00194DE0"/>
    <w:rsid w:val="0032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F3C50F-9059-4213-A57B-9D20DBE2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210D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10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10D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1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10D3"/>
    <w:rPr>
      <w:b/>
      <w:bCs/>
    </w:rPr>
  </w:style>
  <w:style w:type="paragraph" w:styleId="Revision">
    <w:name w:val="Revision"/>
    <w:hidden/>
    <w:uiPriority w:val="99"/>
    <w:semiHidden/>
    <w:rsid w:val="00B210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4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3282</Characters>
  <Application>Microsoft Office Word</Application>
  <DocSecurity>4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HB03554 (Committee Report (Substituted))</vt:lpstr>
    </vt:vector>
  </TitlesOfParts>
  <Company>State of Texas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28215</dc:subject>
  <dc:creator>State of Texas</dc:creator>
  <dc:description>HB 3554 by Farrar-(H)Criminal Jurisprudence (Substitute Document Number: 86R 23080)</dc:description>
  <cp:lastModifiedBy>Stacey Nicchio</cp:lastModifiedBy>
  <cp:revision>2</cp:revision>
  <cp:lastPrinted>2003-11-26T17:21:00Z</cp:lastPrinted>
  <dcterms:created xsi:type="dcterms:W3CDTF">2019-04-25T21:25:00Z</dcterms:created>
  <dcterms:modified xsi:type="dcterms:W3CDTF">2019-04-25T21:25:00Z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19.108.174</vt:lpwstr>
  </property>
</Properties>
</file>