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D321A" w:rsidTr="00345119">
        <w:tc>
          <w:tcPr>
            <w:tcW w:w="9576" w:type="dxa"/>
            <w:noWrap/>
          </w:tcPr>
          <w:p w:rsidR="008423E4" w:rsidRPr="0022177D" w:rsidRDefault="00CD1C03" w:rsidP="00345119">
            <w:pPr>
              <w:pStyle w:val="Heading1"/>
            </w:pPr>
            <w:bookmarkStart w:id="0" w:name="_GoBack"/>
            <w:bookmarkEnd w:id="0"/>
            <w:r w:rsidRPr="00631897">
              <w:t>BILL ANALYSIS</w:t>
            </w:r>
          </w:p>
        </w:tc>
      </w:tr>
    </w:tbl>
    <w:p w:rsidR="008423E4" w:rsidRPr="0022177D" w:rsidRDefault="00CD1C03" w:rsidP="008423E4">
      <w:pPr>
        <w:jc w:val="center"/>
      </w:pPr>
    </w:p>
    <w:p w:rsidR="008423E4" w:rsidRPr="00B31F0E" w:rsidRDefault="00CD1C03" w:rsidP="008423E4"/>
    <w:p w:rsidR="008423E4" w:rsidRPr="00742794" w:rsidRDefault="00CD1C03" w:rsidP="008423E4">
      <w:pPr>
        <w:tabs>
          <w:tab w:val="right" w:pos="9360"/>
        </w:tabs>
      </w:pPr>
    </w:p>
    <w:tbl>
      <w:tblPr>
        <w:tblW w:w="0" w:type="auto"/>
        <w:tblLayout w:type="fixed"/>
        <w:tblLook w:val="01E0" w:firstRow="1" w:lastRow="1" w:firstColumn="1" w:lastColumn="1" w:noHBand="0" w:noVBand="0"/>
      </w:tblPr>
      <w:tblGrid>
        <w:gridCol w:w="9576"/>
      </w:tblGrid>
      <w:tr w:rsidR="00BD321A" w:rsidTr="00345119">
        <w:tc>
          <w:tcPr>
            <w:tcW w:w="9576" w:type="dxa"/>
          </w:tcPr>
          <w:p w:rsidR="008423E4" w:rsidRPr="00861995" w:rsidRDefault="00CD1C03" w:rsidP="00345119">
            <w:pPr>
              <w:jc w:val="right"/>
            </w:pPr>
            <w:r>
              <w:t>H.B. 3562</w:t>
            </w:r>
          </w:p>
        </w:tc>
      </w:tr>
      <w:tr w:rsidR="00BD321A" w:rsidTr="00345119">
        <w:tc>
          <w:tcPr>
            <w:tcW w:w="9576" w:type="dxa"/>
          </w:tcPr>
          <w:p w:rsidR="008423E4" w:rsidRPr="00861995" w:rsidRDefault="00CD1C03" w:rsidP="00930740">
            <w:pPr>
              <w:jc w:val="right"/>
            </w:pPr>
            <w:r>
              <w:t xml:space="preserve">By: </w:t>
            </w:r>
            <w:r>
              <w:t>Farrar</w:t>
            </w:r>
          </w:p>
        </w:tc>
      </w:tr>
      <w:tr w:rsidR="00BD321A" w:rsidTr="00345119">
        <w:tc>
          <w:tcPr>
            <w:tcW w:w="9576" w:type="dxa"/>
          </w:tcPr>
          <w:p w:rsidR="008423E4" w:rsidRPr="00861995" w:rsidRDefault="00CD1C03" w:rsidP="00345119">
            <w:pPr>
              <w:jc w:val="right"/>
            </w:pPr>
            <w:r>
              <w:t>Judiciary &amp; Civil Jurisprudence</w:t>
            </w:r>
          </w:p>
        </w:tc>
      </w:tr>
      <w:tr w:rsidR="00BD321A" w:rsidTr="00345119">
        <w:tc>
          <w:tcPr>
            <w:tcW w:w="9576" w:type="dxa"/>
          </w:tcPr>
          <w:p w:rsidR="008423E4" w:rsidRDefault="00CD1C03" w:rsidP="00345119">
            <w:pPr>
              <w:jc w:val="right"/>
            </w:pPr>
            <w:r>
              <w:t>Committee Report (Unamended)</w:t>
            </w:r>
          </w:p>
        </w:tc>
      </w:tr>
    </w:tbl>
    <w:p w:rsidR="008423E4" w:rsidRDefault="00CD1C03" w:rsidP="008423E4">
      <w:pPr>
        <w:tabs>
          <w:tab w:val="right" w:pos="9360"/>
        </w:tabs>
      </w:pPr>
    </w:p>
    <w:p w:rsidR="008423E4" w:rsidRDefault="00CD1C03" w:rsidP="008423E4"/>
    <w:p w:rsidR="008423E4" w:rsidRDefault="00CD1C03" w:rsidP="008423E4"/>
    <w:tbl>
      <w:tblPr>
        <w:tblW w:w="0" w:type="auto"/>
        <w:tblCellMar>
          <w:left w:w="115" w:type="dxa"/>
          <w:right w:w="115" w:type="dxa"/>
        </w:tblCellMar>
        <w:tblLook w:val="01E0" w:firstRow="1" w:lastRow="1" w:firstColumn="1" w:lastColumn="1" w:noHBand="0" w:noVBand="0"/>
      </w:tblPr>
      <w:tblGrid>
        <w:gridCol w:w="9576"/>
      </w:tblGrid>
      <w:tr w:rsidR="00BD321A" w:rsidTr="00345119">
        <w:tc>
          <w:tcPr>
            <w:tcW w:w="9576" w:type="dxa"/>
          </w:tcPr>
          <w:p w:rsidR="008423E4" w:rsidRPr="00A8133F" w:rsidRDefault="00CD1C03" w:rsidP="0042680E">
            <w:pPr>
              <w:rPr>
                <w:b/>
              </w:rPr>
            </w:pPr>
            <w:r w:rsidRPr="009C1E9A">
              <w:rPr>
                <w:b/>
                <w:u w:val="single"/>
              </w:rPr>
              <w:t>BACKGROUND AND PURPOSE</w:t>
            </w:r>
            <w:r>
              <w:rPr>
                <w:b/>
              </w:rPr>
              <w:t xml:space="preserve"> </w:t>
            </w:r>
          </w:p>
          <w:p w:rsidR="008423E4" w:rsidRDefault="00CD1C03" w:rsidP="0042680E"/>
          <w:p w:rsidR="00D006FC" w:rsidRDefault="00CD1C03" w:rsidP="0042680E">
            <w:pPr>
              <w:pStyle w:val="Header"/>
              <w:tabs>
                <w:tab w:val="clear" w:pos="4320"/>
                <w:tab w:val="clear" w:pos="8640"/>
              </w:tabs>
              <w:jc w:val="both"/>
            </w:pPr>
            <w:r>
              <w:t xml:space="preserve">It has been suggested that the forms existing in statute for creating </w:t>
            </w:r>
            <w:r>
              <w:t xml:space="preserve">transfer on death deeds and related revocation instruments may be overly complicated. H.B. 3562 seeks to address this issue by repealing the statutory forms and instead requiring the Texas Supreme Court to create such forms, </w:t>
            </w:r>
            <w:r>
              <w:t>eliminating</w:t>
            </w:r>
            <w:r>
              <w:t xml:space="preserve"> the need to amend t</w:t>
            </w:r>
            <w:r>
              <w:t xml:space="preserve">he forms through the legislative process. </w:t>
            </w:r>
          </w:p>
          <w:p w:rsidR="008423E4" w:rsidRPr="00E26B13" w:rsidRDefault="00CD1C03" w:rsidP="0042680E">
            <w:pPr>
              <w:pStyle w:val="Header"/>
              <w:tabs>
                <w:tab w:val="clear" w:pos="4320"/>
                <w:tab w:val="clear" w:pos="8640"/>
              </w:tabs>
              <w:jc w:val="both"/>
              <w:rPr>
                <w:b/>
              </w:rPr>
            </w:pPr>
          </w:p>
        </w:tc>
      </w:tr>
      <w:tr w:rsidR="00BD321A" w:rsidTr="00345119">
        <w:tc>
          <w:tcPr>
            <w:tcW w:w="9576" w:type="dxa"/>
          </w:tcPr>
          <w:p w:rsidR="0017725B" w:rsidRDefault="00CD1C03" w:rsidP="0042680E">
            <w:pPr>
              <w:rPr>
                <w:b/>
                <w:u w:val="single"/>
              </w:rPr>
            </w:pPr>
            <w:r>
              <w:rPr>
                <w:b/>
                <w:u w:val="single"/>
              </w:rPr>
              <w:t>CRIMINAL JUSTICE IMPACT</w:t>
            </w:r>
          </w:p>
          <w:p w:rsidR="0017725B" w:rsidRDefault="00CD1C03" w:rsidP="0042680E">
            <w:pPr>
              <w:rPr>
                <w:b/>
                <w:u w:val="single"/>
              </w:rPr>
            </w:pPr>
          </w:p>
          <w:p w:rsidR="002D2E48" w:rsidRPr="002D2E48" w:rsidRDefault="00CD1C03" w:rsidP="0042680E">
            <w:pPr>
              <w:jc w:val="both"/>
            </w:pPr>
            <w:r>
              <w:t>It is the committee's opinion that this bill does not expressly create a criminal offense, increase the punishment for an existing criminal offense or category of offenses, or change the</w:t>
            </w:r>
            <w:r>
              <w:t xml:space="preserve"> eligibility of a person for community supervision, parole, or mandatory supervision.</w:t>
            </w:r>
          </w:p>
          <w:p w:rsidR="0017725B" w:rsidRPr="0017725B" w:rsidRDefault="00CD1C03" w:rsidP="0042680E">
            <w:pPr>
              <w:rPr>
                <w:b/>
                <w:u w:val="single"/>
              </w:rPr>
            </w:pPr>
          </w:p>
        </w:tc>
      </w:tr>
      <w:tr w:rsidR="00BD321A" w:rsidTr="00345119">
        <w:tc>
          <w:tcPr>
            <w:tcW w:w="9576" w:type="dxa"/>
          </w:tcPr>
          <w:p w:rsidR="008423E4" w:rsidRPr="00A8133F" w:rsidRDefault="00CD1C03" w:rsidP="0042680E">
            <w:pPr>
              <w:rPr>
                <w:b/>
              </w:rPr>
            </w:pPr>
            <w:r w:rsidRPr="009C1E9A">
              <w:rPr>
                <w:b/>
                <w:u w:val="single"/>
              </w:rPr>
              <w:t>RULEMAKING AUTHORITY</w:t>
            </w:r>
            <w:r>
              <w:rPr>
                <w:b/>
              </w:rPr>
              <w:t xml:space="preserve"> </w:t>
            </w:r>
          </w:p>
          <w:p w:rsidR="008423E4" w:rsidRDefault="00CD1C03" w:rsidP="0042680E"/>
          <w:p w:rsidR="002D2E48" w:rsidRDefault="00CD1C03" w:rsidP="0042680E">
            <w:pPr>
              <w:pStyle w:val="Header"/>
              <w:tabs>
                <w:tab w:val="clear" w:pos="4320"/>
                <w:tab w:val="clear" w:pos="8640"/>
              </w:tabs>
              <w:jc w:val="both"/>
            </w:pPr>
            <w:r>
              <w:t>It is the committee's opinion that this bill does not expressly grant any additional rulemaking authority to a state officer, department, agency,</w:t>
            </w:r>
            <w:r>
              <w:t xml:space="preserve"> or institution.</w:t>
            </w:r>
          </w:p>
          <w:p w:rsidR="008423E4" w:rsidRPr="00E21FDC" w:rsidRDefault="00CD1C03" w:rsidP="0042680E">
            <w:pPr>
              <w:rPr>
                <w:b/>
              </w:rPr>
            </w:pPr>
          </w:p>
        </w:tc>
      </w:tr>
      <w:tr w:rsidR="00BD321A" w:rsidTr="00345119">
        <w:tc>
          <w:tcPr>
            <w:tcW w:w="9576" w:type="dxa"/>
          </w:tcPr>
          <w:p w:rsidR="008423E4" w:rsidRPr="00A8133F" w:rsidRDefault="00CD1C03" w:rsidP="0042680E">
            <w:pPr>
              <w:rPr>
                <w:b/>
              </w:rPr>
            </w:pPr>
            <w:r w:rsidRPr="009C1E9A">
              <w:rPr>
                <w:b/>
                <w:u w:val="single"/>
              </w:rPr>
              <w:t>ANALYSIS</w:t>
            </w:r>
            <w:r>
              <w:rPr>
                <w:b/>
              </w:rPr>
              <w:t xml:space="preserve"> </w:t>
            </w:r>
          </w:p>
          <w:p w:rsidR="008423E4" w:rsidRDefault="00CD1C03" w:rsidP="0042680E"/>
          <w:p w:rsidR="00CD3CF6" w:rsidRDefault="00CD1C03" w:rsidP="0042680E">
            <w:pPr>
              <w:pStyle w:val="Header"/>
              <w:tabs>
                <w:tab w:val="clear" w:pos="4320"/>
                <w:tab w:val="clear" w:pos="8640"/>
              </w:tabs>
              <w:jc w:val="both"/>
            </w:pPr>
            <w:r>
              <w:t xml:space="preserve">H.B. 3562 amends the Government Code to require the </w:t>
            </w:r>
            <w:r w:rsidRPr="002D2E48">
              <w:t>Texas Supreme Court</w:t>
            </w:r>
            <w:r>
              <w:t>, as the court considers appropriate,</w:t>
            </w:r>
            <w:r w:rsidRPr="002D2E48">
              <w:t xml:space="preserve"> </w:t>
            </w:r>
            <w:r>
              <w:t xml:space="preserve">to promulgate </w:t>
            </w:r>
            <w:r w:rsidRPr="002D2E48">
              <w:t xml:space="preserve">a form for use to create a transfer on death deed and a form for use to create an instrument of </w:t>
            </w:r>
            <w:r w:rsidRPr="002D2E48">
              <w:t>revocation of a transfer on death deed</w:t>
            </w:r>
            <w:r>
              <w:t xml:space="preserve">. </w:t>
            </w:r>
            <w:r>
              <w:t>The bill</w:t>
            </w:r>
            <w:r>
              <w:t xml:space="preserve"> repeals Estates Code provisions that prescribe optional forms for creating </w:t>
            </w:r>
            <w:r>
              <w:t xml:space="preserve">such a </w:t>
            </w:r>
            <w:r>
              <w:t>deed</w:t>
            </w:r>
            <w:r>
              <w:t xml:space="preserve"> or revocation instrument</w:t>
            </w:r>
            <w:r>
              <w:t>.</w:t>
            </w:r>
          </w:p>
          <w:p w:rsidR="00CD3CF6" w:rsidRDefault="00CD1C03" w:rsidP="0042680E">
            <w:pPr>
              <w:pStyle w:val="Header"/>
              <w:tabs>
                <w:tab w:val="clear" w:pos="4320"/>
                <w:tab w:val="clear" w:pos="8640"/>
              </w:tabs>
              <w:jc w:val="both"/>
            </w:pPr>
          </w:p>
          <w:p w:rsidR="00FA37FC" w:rsidRDefault="00CD1C03" w:rsidP="0042680E">
            <w:pPr>
              <w:pStyle w:val="Header"/>
              <w:tabs>
                <w:tab w:val="clear" w:pos="4320"/>
                <w:tab w:val="clear" w:pos="8640"/>
              </w:tabs>
              <w:jc w:val="both"/>
            </w:pPr>
            <w:r>
              <w:t xml:space="preserve">H.B. 3562 repeals the following provisions of the Estates Code: </w:t>
            </w:r>
          </w:p>
          <w:p w:rsidR="00FA37FC" w:rsidRDefault="00CD1C03" w:rsidP="0042680E">
            <w:pPr>
              <w:pStyle w:val="Header"/>
              <w:numPr>
                <w:ilvl w:val="0"/>
                <w:numId w:val="1"/>
              </w:numPr>
              <w:tabs>
                <w:tab w:val="clear" w:pos="4320"/>
                <w:tab w:val="clear" w:pos="8640"/>
              </w:tabs>
              <w:spacing w:before="120" w:after="120"/>
              <w:jc w:val="both"/>
            </w:pPr>
            <w:r>
              <w:t xml:space="preserve">Section </w:t>
            </w:r>
            <w:r w:rsidRPr="00FA37FC">
              <w:t>114.002(b)</w:t>
            </w:r>
          </w:p>
          <w:p w:rsidR="00FA37FC" w:rsidRDefault="00CD1C03" w:rsidP="0042680E">
            <w:pPr>
              <w:pStyle w:val="Header"/>
              <w:numPr>
                <w:ilvl w:val="0"/>
                <w:numId w:val="1"/>
              </w:numPr>
              <w:tabs>
                <w:tab w:val="clear" w:pos="4320"/>
                <w:tab w:val="clear" w:pos="8640"/>
              </w:tabs>
              <w:spacing w:before="120" w:after="120"/>
              <w:jc w:val="both"/>
            </w:pPr>
            <w:r w:rsidRPr="00FA37FC">
              <w:t>Subchapte</w:t>
            </w:r>
            <w:r w:rsidRPr="00FA37FC">
              <w:t>r D, Chapter 114</w:t>
            </w:r>
            <w:r>
              <w:t xml:space="preserve">    </w:t>
            </w:r>
          </w:p>
          <w:p w:rsidR="008423E4" w:rsidRPr="00835628" w:rsidRDefault="00CD1C03" w:rsidP="0042680E">
            <w:pPr>
              <w:rPr>
                <w:b/>
              </w:rPr>
            </w:pPr>
          </w:p>
        </w:tc>
      </w:tr>
      <w:tr w:rsidR="00BD321A" w:rsidTr="00345119">
        <w:tc>
          <w:tcPr>
            <w:tcW w:w="9576" w:type="dxa"/>
          </w:tcPr>
          <w:p w:rsidR="008423E4" w:rsidRPr="00A8133F" w:rsidRDefault="00CD1C03" w:rsidP="0042680E">
            <w:pPr>
              <w:rPr>
                <w:b/>
              </w:rPr>
            </w:pPr>
            <w:r w:rsidRPr="009C1E9A">
              <w:rPr>
                <w:b/>
                <w:u w:val="single"/>
              </w:rPr>
              <w:t>EFFECTIVE DATE</w:t>
            </w:r>
            <w:r>
              <w:rPr>
                <w:b/>
              </w:rPr>
              <w:t xml:space="preserve"> </w:t>
            </w:r>
          </w:p>
          <w:p w:rsidR="008423E4" w:rsidRDefault="00CD1C03" w:rsidP="0042680E"/>
          <w:p w:rsidR="008423E4" w:rsidRPr="003624F2" w:rsidRDefault="00CD1C03" w:rsidP="0042680E">
            <w:pPr>
              <w:pStyle w:val="Header"/>
              <w:tabs>
                <w:tab w:val="clear" w:pos="4320"/>
                <w:tab w:val="clear" w:pos="8640"/>
              </w:tabs>
              <w:jc w:val="both"/>
            </w:pPr>
            <w:r>
              <w:t>September 1, 2019.</w:t>
            </w:r>
          </w:p>
          <w:p w:rsidR="008423E4" w:rsidRPr="00233FDB" w:rsidRDefault="00CD1C03" w:rsidP="0042680E">
            <w:pPr>
              <w:rPr>
                <w:b/>
              </w:rPr>
            </w:pPr>
          </w:p>
        </w:tc>
      </w:tr>
    </w:tbl>
    <w:p w:rsidR="008423E4" w:rsidRPr="00BE0E75" w:rsidRDefault="00CD1C03" w:rsidP="008423E4">
      <w:pPr>
        <w:spacing w:line="480" w:lineRule="auto"/>
        <w:jc w:val="both"/>
        <w:rPr>
          <w:rFonts w:ascii="Arial" w:hAnsi="Arial"/>
          <w:sz w:val="16"/>
          <w:szCs w:val="16"/>
        </w:rPr>
      </w:pPr>
    </w:p>
    <w:p w:rsidR="004108C3" w:rsidRPr="008423E4" w:rsidRDefault="00CD1C0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1C03">
      <w:r>
        <w:separator/>
      </w:r>
    </w:p>
  </w:endnote>
  <w:endnote w:type="continuationSeparator" w:id="0">
    <w:p w:rsidR="00000000" w:rsidRDefault="00CD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D1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D321A" w:rsidTr="009C1E9A">
      <w:trPr>
        <w:cantSplit/>
      </w:trPr>
      <w:tc>
        <w:tcPr>
          <w:tcW w:w="0" w:type="pct"/>
        </w:tcPr>
        <w:p w:rsidR="00137D90" w:rsidRDefault="00CD1C03" w:rsidP="009C1E9A">
          <w:pPr>
            <w:pStyle w:val="Footer"/>
            <w:tabs>
              <w:tab w:val="clear" w:pos="8640"/>
              <w:tab w:val="right" w:pos="9360"/>
            </w:tabs>
          </w:pPr>
        </w:p>
      </w:tc>
      <w:tc>
        <w:tcPr>
          <w:tcW w:w="2395" w:type="pct"/>
        </w:tcPr>
        <w:p w:rsidR="00137D90" w:rsidRDefault="00CD1C03" w:rsidP="009C1E9A">
          <w:pPr>
            <w:pStyle w:val="Footer"/>
            <w:tabs>
              <w:tab w:val="clear" w:pos="8640"/>
              <w:tab w:val="right" w:pos="9360"/>
            </w:tabs>
          </w:pPr>
        </w:p>
        <w:p w:rsidR="001A4310" w:rsidRDefault="00CD1C03" w:rsidP="009C1E9A">
          <w:pPr>
            <w:pStyle w:val="Footer"/>
            <w:tabs>
              <w:tab w:val="clear" w:pos="8640"/>
              <w:tab w:val="right" w:pos="9360"/>
            </w:tabs>
          </w:pPr>
        </w:p>
        <w:p w:rsidR="00137D90" w:rsidRDefault="00CD1C03" w:rsidP="009C1E9A">
          <w:pPr>
            <w:pStyle w:val="Footer"/>
            <w:tabs>
              <w:tab w:val="clear" w:pos="8640"/>
              <w:tab w:val="right" w:pos="9360"/>
            </w:tabs>
          </w:pPr>
        </w:p>
      </w:tc>
      <w:tc>
        <w:tcPr>
          <w:tcW w:w="2453" w:type="pct"/>
        </w:tcPr>
        <w:p w:rsidR="00137D90" w:rsidRDefault="00CD1C03" w:rsidP="009C1E9A">
          <w:pPr>
            <w:pStyle w:val="Footer"/>
            <w:tabs>
              <w:tab w:val="clear" w:pos="8640"/>
              <w:tab w:val="right" w:pos="9360"/>
            </w:tabs>
            <w:jc w:val="right"/>
          </w:pPr>
        </w:p>
      </w:tc>
    </w:tr>
    <w:tr w:rsidR="00BD321A" w:rsidTr="009C1E9A">
      <w:trPr>
        <w:cantSplit/>
      </w:trPr>
      <w:tc>
        <w:tcPr>
          <w:tcW w:w="0" w:type="pct"/>
        </w:tcPr>
        <w:p w:rsidR="00EC379B" w:rsidRDefault="00CD1C03" w:rsidP="009C1E9A">
          <w:pPr>
            <w:pStyle w:val="Footer"/>
            <w:tabs>
              <w:tab w:val="clear" w:pos="8640"/>
              <w:tab w:val="right" w:pos="9360"/>
            </w:tabs>
          </w:pPr>
        </w:p>
      </w:tc>
      <w:tc>
        <w:tcPr>
          <w:tcW w:w="2395" w:type="pct"/>
        </w:tcPr>
        <w:p w:rsidR="00EC379B" w:rsidRPr="009C1E9A" w:rsidRDefault="00CD1C03" w:rsidP="009C1E9A">
          <w:pPr>
            <w:pStyle w:val="Footer"/>
            <w:tabs>
              <w:tab w:val="clear" w:pos="8640"/>
              <w:tab w:val="right" w:pos="9360"/>
            </w:tabs>
            <w:rPr>
              <w:rFonts w:ascii="Shruti" w:hAnsi="Shruti"/>
              <w:sz w:val="22"/>
            </w:rPr>
          </w:pPr>
          <w:r>
            <w:rPr>
              <w:rFonts w:ascii="Shruti" w:hAnsi="Shruti"/>
              <w:sz w:val="22"/>
            </w:rPr>
            <w:t>86R 21156</w:t>
          </w:r>
        </w:p>
      </w:tc>
      <w:tc>
        <w:tcPr>
          <w:tcW w:w="2453" w:type="pct"/>
        </w:tcPr>
        <w:p w:rsidR="00EC379B" w:rsidRDefault="00CD1C03" w:rsidP="009C1E9A">
          <w:pPr>
            <w:pStyle w:val="Footer"/>
            <w:tabs>
              <w:tab w:val="clear" w:pos="8640"/>
              <w:tab w:val="right" w:pos="9360"/>
            </w:tabs>
            <w:jc w:val="right"/>
          </w:pPr>
          <w:r>
            <w:fldChar w:fldCharType="begin"/>
          </w:r>
          <w:r>
            <w:instrText xml:space="preserve"> DOCPROPERTY  OTID  \* MERGEFORMAT </w:instrText>
          </w:r>
          <w:r>
            <w:fldChar w:fldCharType="separate"/>
          </w:r>
          <w:r>
            <w:t>19.80.626</w:t>
          </w:r>
          <w:r>
            <w:fldChar w:fldCharType="end"/>
          </w:r>
        </w:p>
      </w:tc>
    </w:tr>
    <w:tr w:rsidR="00BD321A" w:rsidTr="009C1E9A">
      <w:trPr>
        <w:cantSplit/>
      </w:trPr>
      <w:tc>
        <w:tcPr>
          <w:tcW w:w="0" w:type="pct"/>
        </w:tcPr>
        <w:p w:rsidR="00EC379B" w:rsidRDefault="00CD1C03" w:rsidP="009C1E9A">
          <w:pPr>
            <w:pStyle w:val="Footer"/>
            <w:tabs>
              <w:tab w:val="clear" w:pos="4320"/>
              <w:tab w:val="clear" w:pos="8640"/>
              <w:tab w:val="left" w:pos="2865"/>
            </w:tabs>
          </w:pPr>
        </w:p>
      </w:tc>
      <w:tc>
        <w:tcPr>
          <w:tcW w:w="2395" w:type="pct"/>
        </w:tcPr>
        <w:p w:rsidR="00EC379B" w:rsidRPr="009C1E9A" w:rsidRDefault="00CD1C03" w:rsidP="009C1E9A">
          <w:pPr>
            <w:pStyle w:val="Footer"/>
            <w:tabs>
              <w:tab w:val="clear" w:pos="4320"/>
              <w:tab w:val="clear" w:pos="8640"/>
              <w:tab w:val="left" w:pos="2865"/>
            </w:tabs>
            <w:rPr>
              <w:rFonts w:ascii="Shruti" w:hAnsi="Shruti"/>
              <w:sz w:val="22"/>
            </w:rPr>
          </w:pPr>
        </w:p>
      </w:tc>
      <w:tc>
        <w:tcPr>
          <w:tcW w:w="2453" w:type="pct"/>
        </w:tcPr>
        <w:p w:rsidR="00EC379B" w:rsidRDefault="00CD1C03" w:rsidP="006D504F">
          <w:pPr>
            <w:pStyle w:val="Footer"/>
            <w:rPr>
              <w:rStyle w:val="PageNumber"/>
            </w:rPr>
          </w:pPr>
        </w:p>
        <w:p w:rsidR="00EC379B" w:rsidRDefault="00CD1C03" w:rsidP="009C1E9A">
          <w:pPr>
            <w:pStyle w:val="Footer"/>
            <w:tabs>
              <w:tab w:val="clear" w:pos="8640"/>
              <w:tab w:val="right" w:pos="9360"/>
            </w:tabs>
            <w:jc w:val="right"/>
          </w:pPr>
        </w:p>
      </w:tc>
    </w:tr>
    <w:tr w:rsidR="00BD321A" w:rsidTr="009C1E9A">
      <w:trPr>
        <w:cantSplit/>
        <w:trHeight w:val="323"/>
      </w:trPr>
      <w:tc>
        <w:tcPr>
          <w:tcW w:w="0" w:type="pct"/>
          <w:gridSpan w:val="3"/>
        </w:tcPr>
        <w:p w:rsidR="00EC379B" w:rsidRDefault="00CD1C0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D1C03" w:rsidP="009C1E9A">
          <w:pPr>
            <w:pStyle w:val="Footer"/>
            <w:tabs>
              <w:tab w:val="clear" w:pos="8640"/>
              <w:tab w:val="right" w:pos="9360"/>
            </w:tabs>
            <w:jc w:val="center"/>
          </w:pPr>
        </w:p>
      </w:tc>
    </w:tr>
  </w:tbl>
  <w:p w:rsidR="00EC379B" w:rsidRPr="00FF6F72" w:rsidRDefault="00CD1C0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D1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1C03">
      <w:r>
        <w:separator/>
      </w:r>
    </w:p>
  </w:footnote>
  <w:footnote w:type="continuationSeparator" w:id="0">
    <w:p w:rsidR="00000000" w:rsidRDefault="00CD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D1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D1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D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9D8"/>
    <w:multiLevelType w:val="hybridMultilevel"/>
    <w:tmpl w:val="A9129186"/>
    <w:lvl w:ilvl="0" w:tplc="FE188C44">
      <w:start w:val="1"/>
      <w:numFmt w:val="bullet"/>
      <w:lvlText w:val=""/>
      <w:lvlJc w:val="left"/>
      <w:pPr>
        <w:tabs>
          <w:tab w:val="num" w:pos="720"/>
        </w:tabs>
        <w:ind w:left="720" w:hanging="360"/>
      </w:pPr>
      <w:rPr>
        <w:rFonts w:ascii="Symbol" w:hAnsi="Symbol" w:hint="default"/>
      </w:rPr>
    </w:lvl>
    <w:lvl w:ilvl="1" w:tplc="B3FA198E" w:tentative="1">
      <w:start w:val="1"/>
      <w:numFmt w:val="bullet"/>
      <w:lvlText w:val="o"/>
      <w:lvlJc w:val="left"/>
      <w:pPr>
        <w:ind w:left="1440" w:hanging="360"/>
      </w:pPr>
      <w:rPr>
        <w:rFonts w:ascii="Courier New" w:hAnsi="Courier New" w:cs="Courier New" w:hint="default"/>
      </w:rPr>
    </w:lvl>
    <w:lvl w:ilvl="2" w:tplc="E3E0ACD2" w:tentative="1">
      <w:start w:val="1"/>
      <w:numFmt w:val="bullet"/>
      <w:lvlText w:val=""/>
      <w:lvlJc w:val="left"/>
      <w:pPr>
        <w:ind w:left="2160" w:hanging="360"/>
      </w:pPr>
      <w:rPr>
        <w:rFonts w:ascii="Wingdings" w:hAnsi="Wingdings" w:hint="default"/>
      </w:rPr>
    </w:lvl>
    <w:lvl w:ilvl="3" w:tplc="6A9EB8BE" w:tentative="1">
      <w:start w:val="1"/>
      <w:numFmt w:val="bullet"/>
      <w:lvlText w:val=""/>
      <w:lvlJc w:val="left"/>
      <w:pPr>
        <w:ind w:left="2880" w:hanging="360"/>
      </w:pPr>
      <w:rPr>
        <w:rFonts w:ascii="Symbol" w:hAnsi="Symbol" w:hint="default"/>
      </w:rPr>
    </w:lvl>
    <w:lvl w:ilvl="4" w:tplc="ED5C885C" w:tentative="1">
      <w:start w:val="1"/>
      <w:numFmt w:val="bullet"/>
      <w:lvlText w:val="o"/>
      <w:lvlJc w:val="left"/>
      <w:pPr>
        <w:ind w:left="3600" w:hanging="360"/>
      </w:pPr>
      <w:rPr>
        <w:rFonts w:ascii="Courier New" w:hAnsi="Courier New" w:cs="Courier New" w:hint="default"/>
      </w:rPr>
    </w:lvl>
    <w:lvl w:ilvl="5" w:tplc="D876E8EA" w:tentative="1">
      <w:start w:val="1"/>
      <w:numFmt w:val="bullet"/>
      <w:lvlText w:val=""/>
      <w:lvlJc w:val="left"/>
      <w:pPr>
        <w:ind w:left="4320" w:hanging="360"/>
      </w:pPr>
      <w:rPr>
        <w:rFonts w:ascii="Wingdings" w:hAnsi="Wingdings" w:hint="default"/>
      </w:rPr>
    </w:lvl>
    <w:lvl w:ilvl="6" w:tplc="DA021884" w:tentative="1">
      <w:start w:val="1"/>
      <w:numFmt w:val="bullet"/>
      <w:lvlText w:val=""/>
      <w:lvlJc w:val="left"/>
      <w:pPr>
        <w:ind w:left="5040" w:hanging="360"/>
      </w:pPr>
      <w:rPr>
        <w:rFonts w:ascii="Symbol" w:hAnsi="Symbol" w:hint="default"/>
      </w:rPr>
    </w:lvl>
    <w:lvl w:ilvl="7" w:tplc="C980B46E" w:tentative="1">
      <w:start w:val="1"/>
      <w:numFmt w:val="bullet"/>
      <w:lvlText w:val="o"/>
      <w:lvlJc w:val="left"/>
      <w:pPr>
        <w:ind w:left="5760" w:hanging="360"/>
      </w:pPr>
      <w:rPr>
        <w:rFonts w:ascii="Courier New" w:hAnsi="Courier New" w:cs="Courier New" w:hint="default"/>
      </w:rPr>
    </w:lvl>
    <w:lvl w:ilvl="8" w:tplc="5D30817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1A"/>
    <w:rsid w:val="00BD321A"/>
    <w:rsid w:val="00CD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93273A-C3A9-4CD0-97F6-2775E258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A37FC"/>
    <w:rPr>
      <w:sz w:val="16"/>
      <w:szCs w:val="16"/>
    </w:rPr>
  </w:style>
  <w:style w:type="paragraph" w:styleId="CommentText">
    <w:name w:val="annotation text"/>
    <w:basedOn w:val="Normal"/>
    <w:link w:val="CommentTextChar"/>
    <w:semiHidden/>
    <w:unhideWhenUsed/>
    <w:rsid w:val="00FA37FC"/>
    <w:rPr>
      <w:sz w:val="20"/>
      <w:szCs w:val="20"/>
    </w:rPr>
  </w:style>
  <w:style w:type="character" w:customStyle="1" w:styleId="CommentTextChar">
    <w:name w:val="Comment Text Char"/>
    <w:basedOn w:val="DefaultParagraphFont"/>
    <w:link w:val="CommentText"/>
    <w:semiHidden/>
    <w:rsid w:val="00FA37FC"/>
  </w:style>
  <w:style w:type="paragraph" w:styleId="CommentSubject">
    <w:name w:val="annotation subject"/>
    <w:basedOn w:val="CommentText"/>
    <w:next w:val="CommentText"/>
    <w:link w:val="CommentSubjectChar"/>
    <w:semiHidden/>
    <w:unhideWhenUsed/>
    <w:rsid w:val="00FA37FC"/>
    <w:rPr>
      <w:b/>
      <w:bCs/>
    </w:rPr>
  </w:style>
  <w:style w:type="character" w:customStyle="1" w:styleId="CommentSubjectChar">
    <w:name w:val="Comment Subject Char"/>
    <w:basedOn w:val="CommentTextChar"/>
    <w:link w:val="CommentSubject"/>
    <w:semiHidden/>
    <w:rsid w:val="00FA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1270</Characters>
  <Application>Microsoft Office Word</Application>
  <DocSecurity>4</DocSecurity>
  <Lines>45</Lines>
  <Paragraphs>18</Paragraphs>
  <ScaleCrop>false</ScaleCrop>
  <HeadingPairs>
    <vt:vector size="2" baseType="variant">
      <vt:variant>
        <vt:lpstr>Title</vt:lpstr>
      </vt:variant>
      <vt:variant>
        <vt:i4>1</vt:i4>
      </vt:variant>
    </vt:vector>
  </HeadingPairs>
  <TitlesOfParts>
    <vt:vector size="1" baseType="lpstr">
      <vt:lpstr>BA - HB03562 (Committee Report (Unamended))</vt:lpstr>
    </vt:vector>
  </TitlesOfParts>
  <Company>State of Texas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21156</dc:subject>
  <dc:creator>State of Texas</dc:creator>
  <dc:description>HB 3562 by Farrar-(H)Judiciary &amp; Civil Jurisprudence</dc:description>
  <cp:lastModifiedBy>Stacey Nicchio</cp:lastModifiedBy>
  <cp:revision>2</cp:revision>
  <cp:lastPrinted>2003-11-26T17:21:00Z</cp:lastPrinted>
  <dcterms:created xsi:type="dcterms:W3CDTF">2019-04-16T21:08:00Z</dcterms:created>
  <dcterms:modified xsi:type="dcterms:W3CDTF">2019-04-16T21:08:00Z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19.80.626</vt:lpwstr>
  </property>
</Properties>
</file>