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423D" w:rsidTr="00345119">
        <w:tc>
          <w:tcPr>
            <w:tcW w:w="9576" w:type="dxa"/>
            <w:noWrap/>
          </w:tcPr>
          <w:p w:rsidR="008423E4" w:rsidRPr="0022177D" w:rsidRDefault="00E24C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4CFB" w:rsidP="008423E4">
      <w:pPr>
        <w:jc w:val="center"/>
      </w:pPr>
    </w:p>
    <w:p w:rsidR="008423E4" w:rsidRPr="00B31F0E" w:rsidRDefault="00E24CFB" w:rsidP="008423E4"/>
    <w:p w:rsidR="008423E4" w:rsidRPr="00742794" w:rsidRDefault="00E24C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423D" w:rsidTr="00345119">
        <w:tc>
          <w:tcPr>
            <w:tcW w:w="9576" w:type="dxa"/>
          </w:tcPr>
          <w:p w:rsidR="008423E4" w:rsidRPr="00861995" w:rsidRDefault="00E24CFB" w:rsidP="00345119">
            <w:pPr>
              <w:jc w:val="right"/>
            </w:pPr>
            <w:r>
              <w:t>C.S.H.B. 3582</w:t>
            </w:r>
          </w:p>
        </w:tc>
      </w:tr>
      <w:tr w:rsidR="002B423D" w:rsidTr="00345119">
        <w:tc>
          <w:tcPr>
            <w:tcW w:w="9576" w:type="dxa"/>
          </w:tcPr>
          <w:p w:rsidR="008423E4" w:rsidRPr="00861995" w:rsidRDefault="00E24CFB" w:rsidP="00785BC6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2B423D" w:rsidTr="00345119">
        <w:tc>
          <w:tcPr>
            <w:tcW w:w="9576" w:type="dxa"/>
          </w:tcPr>
          <w:p w:rsidR="008423E4" w:rsidRPr="00861995" w:rsidRDefault="00E24CFB" w:rsidP="00345119">
            <w:pPr>
              <w:jc w:val="right"/>
            </w:pPr>
            <w:r>
              <w:t>Corrections</w:t>
            </w:r>
          </w:p>
        </w:tc>
      </w:tr>
      <w:tr w:rsidR="002B423D" w:rsidTr="00345119">
        <w:tc>
          <w:tcPr>
            <w:tcW w:w="9576" w:type="dxa"/>
          </w:tcPr>
          <w:p w:rsidR="008423E4" w:rsidRDefault="00E24CF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24CFB" w:rsidP="008423E4">
      <w:pPr>
        <w:tabs>
          <w:tab w:val="right" w:pos="9360"/>
        </w:tabs>
      </w:pPr>
    </w:p>
    <w:p w:rsidR="008423E4" w:rsidRDefault="00E24CFB" w:rsidP="008423E4"/>
    <w:p w:rsidR="008423E4" w:rsidRDefault="00E24C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423D" w:rsidTr="00345119">
        <w:tc>
          <w:tcPr>
            <w:tcW w:w="9576" w:type="dxa"/>
          </w:tcPr>
          <w:p w:rsidR="008423E4" w:rsidRPr="00A8133F" w:rsidRDefault="00E24CFB" w:rsidP="009C06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4CFB" w:rsidP="009C06D0"/>
          <w:p w:rsidR="008423E4" w:rsidRDefault="00E24CFB" w:rsidP="009C06D0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granting </w:t>
            </w:r>
            <w:r>
              <w:t xml:space="preserve">deferred adjudication </w:t>
            </w:r>
            <w:r>
              <w:t xml:space="preserve">community supervision </w:t>
            </w:r>
            <w:r>
              <w:t xml:space="preserve">to </w:t>
            </w:r>
            <w:r>
              <w:t xml:space="preserve">certain </w:t>
            </w:r>
            <w:r>
              <w:t>first</w:t>
            </w:r>
            <w:r>
              <w:noBreakHyphen/>
            </w:r>
            <w:r>
              <w:t xml:space="preserve">time </w:t>
            </w:r>
            <w:r>
              <w:t xml:space="preserve">DWI </w:t>
            </w:r>
            <w:r>
              <w:t>offenders</w:t>
            </w:r>
            <w:r>
              <w:t xml:space="preserve"> would allow these offenders to receive the treatment </w:t>
            </w:r>
            <w:r>
              <w:t xml:space="preserve">for alcoholism </w:t>
            </w:r>
            <w:r>
              <w:t>they need</w:t>
            </w:r>
            <w:r>
              <w:t xml:space="preserve"> and reduce the risk of reoffending</w:t>
            </w:r>
            <w:r>
              <w:t xml:space="preserve">. </w:t>
            </w:r>
            <w:r>
              <w:t>C.S.</w:t>
            </w:r>
            <w:r>
              <w:t xml:space="preserve">H.B. 3582 seeks to provide this by </w:t>
            </w:r>
            <w:r>
              <w:t>authorizing judges to grant deferred adjudication community supervision for defendants who commit cert</w:t>
            </w:r>
            <w:r>
              <w:t xml:space="preserve">ain intoxication offenses and </w:t>
            </w:r>
            <w:r>
              <w:t>revises certain aspects of the law relating to DWI</w:t>
            </w:r>
            <w:r>
              <w:t>.</w:t>
            </w:r>
          </w:p>
          <w:p w:rsidR="008423E4" w:rsidRPr="00E26B13" w:rsidRDefault="00E24CFB" w:rsidP="009C06D0">
            <w:pPr>
              <w:rPr>
                <w:b/>
              </w:rPr>
            </w:pPr>
          </w:p>
        </w:tc>
      </w:tr>
      <w:tr w:rsidR="002B423D" w:rsidTr="00345119">
        <w:tc>
          <w:tcPr>
            <w:tcW w:w="9576" w:type="dxa"/>
          </w:tcPr>
          <w:p w:rsidR="0017725B" w:rsidRDefault="00E24CFB" w:rsidP="009C06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4CFB" w:rsidP="009C06D0">
            <w:pPr>
              <w:rPr>
                <w:b/>
                <w:u w:val="single"/>
              </w:rPr>
            </w:pPr>
          </w:p>
          <w:p w:rsidR="00A503B8" w:rsidRPr="00A503B8" w:rsidRDefault="00E24CFB" w:rsidP="009C06D0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</w:t>
            </w:r>
            <w:r>
              <w:t>an existing criminal offense or category of offenses, or changes the eligibility of a person for community supervision, parole, or mandatory supervision.</w:t>
            </w:r>
          </w:p>
          <w:p w:rsidR="0017725B" w:rsidRPr="0017725B" w:rsidRDefault="00E24CFB" w:rsidP="009C06D0">
            <w:pPr>
              <w:rPr>
                <w:b/>
                <w:u w:val="single"/>
              </w:rPr>
            </w:pPr>
          </w:p>
        </w:tc>
      </w:tr>
      <w:tr w:rsidR="002B423D" w:rsidTr="00345119">
        <w:tc>
          <w:tcPr>
            <w:tcW w:w="9576" w:type="dxa"/>
          </w:tcPr>
          <w:p w:rsidR="008423E4" w:rsidRPr="00A8133F" w:rsidRDefault="00E24CFB" w:rsidP="009C06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4CFB" w:rsidP="009C06D0"/>
          <w:p w:rsidR="00A503B8" w:rsidRDefault="00E24CFB" w:rsidP="009C06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24CFB" w:rsidP="009C06D0">
            <w:pPr>
              <w:rPr>
                <w:b/>
              </w:rPr>
            </w:pPr>
          </w:p>
        </w:tc>
      </w:tr>
      <w:tr w:rsidR="002B423D" w:rsidTr="00345119">
        <w:tc>
          <w:tcPr>
            <w:tcW w:w="9576" w:type="dxa"/>
          </w:tcPr>
          <w:p w:rsidR="008423E4" w:rsidRPr="00A8133F" w:rsidRDefault="00E24CFB" w:rsidP="009C06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4CFB" w:rsidP="009C06D0"/>
          <w:p w:rsidR="00597359" w:rsidRDefault="00E24CFB" w:rsidP="009C06D0">
            <w:pPr>
              <w:pStyle w:val="Header"/>
              <w:jc w:val="both"/>
            </w:pPr>
            <w:r>
              <w:t>C.S.</w:t>
            </w:r>
            <w:r>
              <w:t>H.B. 3582 amends the Code of Criminal Procedure</w:t>
            </w:r>
            <w:r>
              <w:t xml:space="preserve"> to condition the prohibition against a judge from granting deferred adjudication community supervision </w:t>
            </w:r>
            <w:r>
              <w:t>to a defendant who is charged with a driving while intoxicated or boating while intoxicated offense on the defendant</w:t>
            </w:r>
            <w:r>
              <w:t xml:space="preserve"> having</w:t>
            </w:r>
            <w:r>
              <w:t xml:space="preserve"> at the time</w:t>
            </w:r>
            <w:r>
              <w:t xml:space="preserve"> of the offense</w:t>
            </w:r>
            <w:r>
              <w:t xml:space="preserve"> a commercial driver's license or a commercial learner's permit or an alcohol concentration of 0.16 or mor</w:t>
            </w:r>
            <w:r>
              <w:t xml:space="preserve">e. </w:t>
            </w:r>
            <w:r>
              <w:t>The bill prohibits a judge from granting deferred adjudication community supervision to a defendant who is charged with an offense for which the punishment may be increased based on the defendant's previous conviction for certain intoxication offenses o</w:t>
            </w:r>
            <w:r>
              <w:t xml:space="preserve">r </w:t>
            </w:r>
            <w:r>
              <w:t xml:space="preserve">intoxication assault that resulted in serious bodily injury or death. </w:t>
            </w:r>
          </w:p>
          <w:p w:rsidR="00E36875" w:rsidRDefault="00E24CFB" w:rsidP="009C06D0">
            <w:pPr>
              <w:pStyle w:val="Header"/>
              <w:jc w:val="both"/>
            </w:pPr>
            <w:r>
              <w:t xml:space="preserve"> </w:t>
            </w:r>
          </w:p>
          <w:p w:rsidR="00E36875" w:rsidRDefault="00E24CFB" w:rsidP="009C06D0">
            <w:pPr>
              <w:pStyle w:val="Header"/>
              <w:jc w:val="both"/>
            </w:pPr>
            <w:r>
              <w:t xml:space="preserve">C.S.H.B. 3582 requires a judge granting deferred adjudication community supervision to a defendant </w:t>
            </w:r>
            <w:r>
              <w:t xml:space="preserve">for a </w:t>
            </w:r>
            <w:r>
              <w:t xml:space="preserve">driving </w:t>
            </w:r>
            <w:r>
              <w:t xml:space="preserve">while intoxicated </w:t>
            </w:r>
            <w:r>
              <w:t xml:space="preserve">or boating while intoxicated </w:t>
            </w:r>
            <w:r>
              <w:t xml:space="preserve">offense </w:t>
            </w:r>
            <w:r>
              <w:t xml:space="preserve">to require </w:t>
            </w:r>
            <w:r>
              <w:t>th</w:t>
            </w:r>
            <w:r>
              <w:t xml:space="preserve">at </w:t>
            </w:r>
            <w:r w:rsidRPr="00E36875">
              <w:t>the defendant</w:t>
            </w:r>
            <w:r>
              <w:t>,</w:t>
            </w:r>
            <w:r w:rsidRPr="00E36875">
              <w:t xml:space="preserve"> as a condition of community </w:t>
            </w:r>
            <w:r>
              <w:t>supervision,</w:t>
            </w:r>
            <w:r w:rsidRPr="00E36875">
              <w:t xml:space="preserve"> have an ignition interlock device installed on the motor vehicle owned by the defendant or on the vehicle most regularly driven by the defendant and </w:t>
            </w:r>
            <w:r>
              <w:t xml:space="preserve">that </w:t>
            </w:r>
            <w:r w:rsidRPr="00E36875">
              <w:t xml:space="preserve">the defendant </w:t>
            </w:r>
            <w:r>
              <w:t xml:space="preserve">not </w:t>
            </w:r>
            <w:r>
              <w:t>operat</w:t>
            </w:r>
            <w:r>
              <w:t>e</w:t>
            </w:r>
            <w:r w:rsidRPr="00E36875">
              <w:t xml:space="preserve"> any motor vehicle</w:t>
            </w:r>
            <w:r w:rsidRPr="00E36875">
              <w:t xml:space="preserve"> that is not equipped with that device unless the judge finds that restricting the defendant to the operation of a motor vehicle equipped with an ignition interlock device would not be in the best interest of society and enters that finding in the record.</w:t>
            </w:r>
            <w:r>
              <w:t xml:space="preserve"> </w:t>
            </w:r>
            <w:r>
              <w:t xml:space="preserve">The bill </w:t>
            </w:r>
            <w:r>
              <w:t xml:space="preserve">makes </w:t>
            </w:r>
            <w:r>
              <w:t xml:space="preserve">this provision </w:t>
            </w:r>
            <w:r>
              <w:t xml:space="preserve">applicable </w:t>
            </w:r>
            <w:r w:rsidRPr="00257228">
              <w:t>regardless of whether the defendant would be required to have an ignition interlock device installed on conviction of the offense for which deferred adjudication community supervision is granted.</w:t>
            </w:r>
            <w:r>
              <w:t xml:space="preserve"> The bill provides f</w:t>
            </w:r>
            <w:r>
              <w:t xml:space="preserve">or </w:t>
            </w:r>
            <w:r>
              <w:t xml:space="preserve">a reduction of costs if the judge determines </w:t>
            </w:r>
            <w:r>
              <w:t>that the defendant is unable to pay for the ignition interlock device</w:t>
            </w:r>
            <w:r>
              <w:t xml:space="preserve"> but makes any such reduction of costs inapplicable to any fees that may be assessed against a defendant for whom the ignition interlock de</w:t>
            </w:r>
            <w:r>
              <w:t>vice detects ethyl alcohol on the breath of the person attempting to operate the vehicle</w:t>
            </w:r>
            <w:r>
              <w:t>.</w:t>
            </w:r>
          </w:p>
          <w:p w:rsidR="00257228" w:rsidRDefault="00E24CFB" w:rsidP="009C06D0">
            <w:pPr>
              <w:pStyle w:val="Header"/>
              <w:jc w:val="both"/>
            </w:pPr>
          </w:p>
          <w:p w:rsidR="00836EAE" w:rsidRDefault="00E24CFB" w:rsidP="009C06D0">
            <w:pPr>
              <w:pStyle w:val="Header"/>
              <w:jc w:val="both"/>
            </w:pPr>
            <w:r>
              <w:t>C.S.</w:t>
            </w:r>
            <w:r>
              <w:t xml:space="preserve">H.B. 3582 amends the Government Code to </w:t>
            </w:r>
            <w:r>
              <w:t xml:space="preserve">authorize a person </w:t>
            </w:r>
            <w:r>
              <w:t xml:space="preserve">who was </w:t>
            </w:r>
            <w:r>
              <w:t xml:space="preserve">placed on </w:t>
            </w:r>
            <w:r w:rsidRPr="004548CD">
              <w:t>deferred adjudication community supervision</w:t>
            </w:r>
            <w:r>
              <w:t xml:space="preserve"> </w:t>
            </w:r>
            <w:r>
              <w:t xml:space="preserve">for a driving while intoxicated or boating while intoxicated offense that is punishable as a misdemeanor </w:t>
            </w:r>
            <w:r>
              <w:t>to petition the court</w:t>
            </w:r>
            <w:r>
              <w:t xml:space="preserve"> that placed the person on deferred adjudication community supervision</w:t>
            </w:r>
            <w:r>
              <w:t xml:space="preserve"> for an order of nondisclosure of criminal history record in</w:t>
            </w:r>
            <w:r>
              <w:t>formation</w:t>
            </w:r>
            <w:r>
              <w:t xml:space="preserve"> </w:t>
            </w:r>
            <w:r>
              <w:t>if the person receives a discharge and dismissal, satisfies required conditions for receiving such an order, and has never been previously convicted of or placed on deferred adjudication community supervision for another offense other than a fine</w:t>
            </w:r>
            <w:r>
              <w:noBreakHyphen/>
              <w:t>only traffic offense</w:t>
            </w:r>
            <w:r>
              <w:t>.</w:t>
            </w:r>
            <w:r>
              <w:t xml:space="preserve"> The bill limits the date on or after which such a petition may be filed to</w:t>
            </w:r>
            <w:r>
              <w:t>:</w:t>
            </w:r>
            <w:r>
              <w:t xml:space="preserve"> </w:t>
            </w:r>
          </w:p>
          <w:p w:rsidR="00836EAE" w:rsidRDefault="00E24CFB" w:rsidP="009C06D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second anniversary of the date of completion of the deferred adjudication community supervision and the discharge and dismissal of the case if the perso</w:t>
            </w:r>
            <w:r>
              <w:t>n successfully complied with a condition of community supervision that</w:t>
            </w:r>
            <w:r>
              <w:t>,</w:t>
            </w:r>
            <w:r>
              <w:t xml:space="preserve"> for a period of not less than six months</w:t>
            </w:r>
            <w:r>
              <w:t>,</w:t>
            </w:r>
            <w:r>
              <w:t xml:space="preserve"> restricted the person's operation of a motor vehicle to a motor vehicle equipped with an ignition interlock device</w:t>
            </w:r>
            <w:r>
              <w:t>;</w:t>
            </w:r>
            <w:r>
              <w:t xml:space="preserve"> or</w:t>
            </w:r>
          </w:p>
          <w:p w:rsidR="00836EAE" w:rsidRDefault="00E24CFB" w:rsidP="009C06D0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fifth anniversary </w:t>
            </w:r>
            <w:r>
              <w:t>o</w:t>
            </w:r>
            <w:r>
              <w:t>f such date of completion and discharge and dismissal if the court that placed the person on deferred adjudication community supervision did not order the person to comply with such a condition of community supervision.</w:t>
            </w:r>
          </w:p>
          <w:p w:rsidR="00B52F73" w:rsidRDefault="00E24CFB" w:rsidP="009C06D0">
            <w:pPr>
              <w:pStyle w:val="Header"/>
              <w:jc w:val="both"/>
            </w:pPr>
          </w:p>
          <w:p w:rsidR="00257228" w:rsidRDefault="00E24CFB" w:rsidP="009C06D0">
            <w:pPr>
              <w:pStyle w:val="Header"/>
              <w:jc w:val="both"/>
            </w:pPr>
            <w:r>
              <w:t>C.S.</w:t>
            </w:r>
            <w:r>
              <w:t xml:space="preserve">H.B. 3582 </w:t>
            </w:r>
            <w:r>
              <w:t xml:space="preserve">requires </w:t>
            </w:r>
            <w:r>
              <w:t xml:space="preserve">the </w:t>
            </w:r>
            <w:r>
              <w:t>petition</w:t>
            </w:r>
            <w:r>
              <w:t xml:space="preserve"> to include evidence that the person is entitled to file the petition</w:t>
            </w:r>
            <w:r>
              <w:t xml:space="preserve"> and </w:t>
            </w:r>
            <w:r>
              <w:t xml:space="preserve">requires the court, </w:t>
            </w:r>
            <w:r w:rsidRPr="004548CD">
              <w:t>after notice to the state, an opportunity for a hearing, and a determination that the person is entitled to file the petition and issuance of an order of nondiscl</w:t>
            </w:r>
            <w:r w:rsidRPr="004548CD">
              <w:t>osure of criminal history record information is in the best interest of justice,</w:t>
            </w:r>
            <w:r>
              <w:t xml:space="preserve"> to issue an order </w:t>
            </w:r>
            <w:r w:rsidRPr="004548CD">
              <w:t>prohibiting criminal justice agencies from disclosing to the public criminal history record information related to</w:t>
            </w:r>
            <w:r>
              <w:t xml:space="preserve"> the</w:t>
            </w:r>
            <w:r w:rsidRPr="004548CD">
              <w:t xml:space="preserve"> </w:t>
            </w:r>
            <w:r>
              <w:t>applicable</w:t>
            </w:r>
            <w:r w:rsidRPr="004548CD">
              <w:t xml:space="preserve"> offense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prohibits</w:t>
            </w:r>
            <w:r>
              <w:t xml:space="preserve"> the court from issuing the order if </w:t>
            </w:r>
            <w:r w:rsidRPr="0078737D">
              <w:t xml:space="preserve">the attorney representing the state presents evidence </w:t>
            </w:r>
            <w:r>
              <w:t xml:space="preserve">sufficient to the court </w:t>
            </w:r>
            <w:r w:rsidRPr="0078737D">
              <w:t>demonstrating that the commission of the offense resulted in a motor vehicle accident involving another person, including a passenger in a mo</w:t>
            </w:r>
            <w:r w:rsidRPr="0078737D">
              <w:t>tor vehicle operated by the person seeking the order of nondisclosure.</w:t>
            </w:r>
            <w:r>
              <w:t xml:space="preserve"> </w:t>
            </w:r>
          </w:p>
          <w:p w:rsidR="0078737D" w:rsidRDefault="00E24CFB" w:rsidP="009C06D0">
            <w:pPr>
              <w:pStyle w:val="Header"/>
              <w:jc w:val="both"/>
            </w:pPr>
          </w:p>
          <w:p w:rsidR="0078737D" w:rsidRDefault="00E24CFB" w:rsidP="009C06D0">
            <w:pPr>
              <w:pStyle w:val="Header"/>
              <w:jc w:val="both"/>
            </w:pPr>
            <w:r>
              <w:t xml:space="preserve">C.S.H.B. 3582 </w:t>
            </w:r>
            <w:r>
              <w:t xml:space="preserve">amends the Penal Code </w:t>
            </w:r>
            <w:r>
              <w:t xml:space="preserve">to enhance </w:t>
            </w:r>
            <w:r>
              <w:t>from a state jail felony to a third degree felony the penalty for the offense of driving while intoxicated with a child passenger</w:t>
            </w:r>
            <w:r>
              <w:t xml:space="preserve"> for </w:t>
            </w:r>
            <w:r>
              <w:t>an</w:t>
            </w:r>
            <w:r>
              <w:t xml:space="preserve"> actor who has </w:t>
            </w:r>
            <w:r>
              <w:t>a previous conviction of certain intoxication offenses.</w:t>
            </w:r>
            <w:r>
              <w:t xml:space="preserve"> </w:t>
            </w:r>
            <w:r>
              <w:t>The bill establishes that</w:t>
            </w:r>
            <w:r>
              <w:t>,</w:t>
            </w:r>
            <w:r>
              <w:t xml:space="preserve"> for purposes of statutory provisions relating to enhanced offenses and penalties for certain intoxication and alcoholic beverage offenses, a person is conside</w:t>
            </w:r>
            <w:r>
              <w:t>red to have been convicted of a driving while intoxicated or boating while intoxicated offense if the person was placed on deferred adjudication community supervision for the offense.</w:t>
            </w:r>
          </w:p>
          <w:p w:rsidR="008423E4" w:rsidRPr="00835628" w:rsidRDefault="00E24CFB" w:rsidP="009C06D0">
            <w:pPr>
              <w:rPr>
                <w:b/>
              </w:rPr>
            </w:pPr>
          </w:p>
        </w:tc>
      </w:tr>
      <w:tr w:rsidR="002B423D" w:rsidTr="00345119">
        <w:tc>
          <w:tcPr>
            <w:tcW w:w="9576" w:type="dxa"/>
          </w:tcPr>
          <w:p w:rsidR="008423E4" w:rsidRPr="00A8133F" w:rsidRDefault="00E24CFB" w:rsidP="009C06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4CFB" w:rsidP="009C06D0"/>
          <w:p w:rsidR="008423E4" w:rsidRPr="003624F2" w:rsidRDefault="00E24CFB" w:rsidP="009C06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24CFB" w:rsidP="009C06D0">
            <w:pPr>
              <w:rPr>
                <w:b/>
              </w:rPr>
            </w:pPr>
          </w:p>
        </w:tc>
      </w:tr>
      <w:tr w:rsidR="002B423D" w:rsidTr="00345119">
        <w:tc>
          <w:tcPr>
            <w:tcW w:w="9576" w:type="dxa"/>
          </w:tcPr>
          <w:p w:rsidR="00785BC6" w:rsidRDefault="00E24CFB" w:rsidP="009C06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BC4C6F" w:rsidRDefault="00E24CFB" w:rsidP="009C06D0">
            <w:pPr>
              <w:jc w:val="both"/>
            </w:pPr>
          </w:p>
          <w:p w:rsidR="0056312F" w:rsidRPr="0056312F" w:rsidRDefault="00E24CFB" w:rsidP="009C06D0">
            <w:pPr>
              <w:jc w:val="both"/>
            </w:pPr>
            <w:r>
              <w:t>C.S.H.B. 3582 differs from the original only by amending the caption to specify that the bill relates to enhancing a criminal penalty.</w:t>
            </w:r>
          </w:p>
        </w:tc>
      </w:tr>
      <w:tr w:rsidR="002B423D" w:rsidTr="00345119">
        <w:tc>
          <w:tcPr>
            <w:tcW w:w="9576" w:type="dxa"/>
          </w:tcPr>
          <w:p w:rsidR="00785BC6" w:rsidRPr="009C1E9A" w:rsidRDefault="00E24CFB" w:rsidP="009C06D0">
            <w:pPr>
              <w:rPr>
                <w:b/>
                <w:u w:val="single"/>
              </w:rPr>
            </w:pPr>
          </w:p>
        </w:tc>
      </w:tr>
      <w:tr w:rsidR="002B423D" w:rsidTr="00345119">
        <w:tc>
          <w:tcPr>
            <w:tcW w:w="9576" w:type="dxa"/>
          </w:tcPr>
          <w:p w:rsidR="00785BC6" w:rsidRPr="00785BC6" w:rsidRDefault="00E24CFB" w:rsidP="009C06D0">
            <w:pPr>
              <w:jc w:val="both"/>
            </w:pPr>
          </w:p>
        </w:tc>
      </w:tr>
    </w:tbl>
    <w:p w:rsidR="008423E4" w:rsidRPr="00BE0E75" w:rsidRDefault="00E24C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4CF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CFB">
      <w:r>
        <w:separator/>
      </w:r>
    </w:p>
  </w:endnote>
  <w:endnote w:type="continuationSeparator" w:id="0">
    <w:p w:rsidR="00000000" w:rsidRDefault="00E2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423D" w:rsidTr="009C1E9A">
      <w:trPr>
        <w:cantSplit/>
      </w:trPr>
      <w:tc>
        <w:tcPr>
          <w:tcW w:w="0" w:type="pct"/>
        </w:tcPr>
        <w:p w:rsidR="00137D90" w:rsidRDefault="00E24C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4C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4C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4C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4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23D" w:rsidTr="009C1E9A">
      <w:trPr>
        <w:cantSplit/>
      </w:trPr>
      <w:tc>
        <w:tcPr>
          <w:tcW w:w="0" w:type="pct"/>
        </w:tcPr>
        <w:p w:rsidR="00EC379B" w:rsidRDefault="00E24C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4C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25904</w:t>
          </w:r>
        </w:p>
      </w:tc>
      <w:tc>
        <w:tcPr>
          <w:tcW w:w="2453" w:type="pct"/>
        </w:tcPr>
        <w:p w:rsidR="00EC379B" w:rsidRDefault="00E24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19.99.1556</w:t>
          </w:r>
          <w:r>
            <w:fldChar w:fldCharType="end"/>
          </w:r>
        </w:p>
      </w:tc>
    </w:tr>
    <w:tr w:rsidR="002B423D" w:rsidTr="009C1E9A">
      <w:trPr>
        <w:cantSplit/>
      </w:trPr>
      <w:tc>
        <w:tcPr>
          <w:tcW w:w="0" w:type="pct"/>
        </w:tcPr>
        <w:p w:rsidR="00EC379B" w:rsidRDefault="00E24C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4C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19565</w:t>
          </w:r>
        </w:p>
      </w:tc>
      <w:tc>
        <w:tcPr>
          <w:tcW w:w="2453" w:type="pct"/>
        </w:tcPr>
        <w:p w:rsidR="00EC379B" w:rsidRDefault="00E24CFB" w:rsidP="006D504F">
          <w:pPr>
            <w:pStyle w:val="Footer"/>
            <w:rPr>
              <w:rStyle w:val="PageNumber"/>
            </w:rPr>
          </w:pPr>
        </w:p>
        <w:p w:rsidR="00EC379B" w:rsidRDefault="00E24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2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4C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24C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4C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4CFB">
      <w:r>
        <w:separator/>
      </w:r>
    </w:p>
  </w:footnote>
  <w:footnote w:type="continuationSeparator" w:id="0">
    <w:p w:rsidR="00000000" w:rsidRDefault="00E2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2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A28"/>
    <w:multiLevelType w:val="hybridMultilevel"/>
    <w:tmpl w:val="6A7C7346"/>
    <w:lvl w:ilvl="0" w:tplc="EB4EC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08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A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2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9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CC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2E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61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0A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5217"/>
    <w:multiLevelType w:val="hybridMultilevel"/>
    <w:tmpl w:val="ED50B7AE"/>
    <w:lvl w:ilvl="0" w:tplc="4C666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CE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8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25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64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6A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E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4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C3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3D"/>
    <w:rsid w:val="002B423D"/>
    <w:rsid w:val="00E2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24622-4F55-4679-8F24-9A3B0D49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7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3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37D"/>
    <w:rPr>
      <w:b/>
      <w:bCs/>
    </w:rPr>
  </w:style>
  <w:style w:type="paragraph" w:styleId="Revision">
    <w:name w:val="Revision"/>
    <w:hidden/>
    <w:uiPriority w:val="99"/>
    <w:semiHidden/>
    <w:rsid w:val="00787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5231</Characters>
  <Application>Microsoft Office Word</Application>
  <DocSecurity>4</DocSecurity>
  <Lines>104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HB03582 (Committee Report (Substituted))</vt:lpstr>
    </vt:vector>
  </TitlesOfParts>
  <Company>State of Texas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25904</dc:subject>
  <dc:creator>State of Texas</dc:creator>
  <dc:description>HB 3582 by Murr-(H)Corrections (Substitute Document Number: 86R 19565)</dc:description>
  <cp:lastModifiedBy>Stacey Nicchio</cp:lastModifiedBy>
  <cp:revision>2</cp:revision>
  <cp:lastPrinted>2003-11-26T17:21:00Z</cp:lastPrinted>
  <dcterms:created xsi:type="dcterms:W3CDTF">2019-04-12T23:44:00Z</dcterms:created>
  <dcterms:modified xsi:type="dcterms:W3CDTF">2019-04-12T23:44:00Z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19.99.1556</vt:lpwstr>
  </property>
</Properties>
</file>