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37A46" w:rsidTr="00345119">
        <w:tc>
          <w:tcPr>
            <w:tcW w:w="9576" w:type="dxa"/>
            <w:noWrap/>
          </w:tcPr>
          <w:p w:rsidR="008423E4" w:rsidRPr="0022177D" w:rsidRDefault="00E07A77" w:rsidP="00345119">
            <w:pPr>
              <w:pStyle w:val="Heading1"/>
            </w:pPr>
            <w:bookmarkStart w:id="0" w:name="_GoBack"/>
            <w:bookmarkEnd w:id="0"/>
            <w:r w:rsidRPr="00631897">
              <w:t>BILL ANALYSIS</w:t>
            </w:r>
          </w:p>
        </w:tc>
      </w:tr>
    </w:tbl>
    <w:p w:rsidR="008423E4" w:rsidRPr="0022177D" w:rsidRDefault="00E07A77" w:rsidP="008423E4">
      <w:pPr>
        <w:jc w:val="center"/>
      </w:pPr>
    </w:p>
    <w:p w:rsidR="008423E4" w:rsidRPr="00B31F0E" w:rsidRDefault="00E07A77" w:rsidP="008423E4"/>
    <w:p w:rsidR="008423E4" w:rsidRPr="00742794" w:rsidRDefault="00E07A77" w:rsidP="008423E4">
      <w:pPr>
        <w:tabs>
          <w:tab w:val="right" w:pos="9360"/>
        </w:tabs>
      </w:pPr>
    </w:p>
    <w:tbl>
      <w:tblPr>
        <w:tblW w:w="0" w:type="auto"/>
        <w:tblLayout w:type="fixed"/>
        <w:tblLook w:val="01E0" w:firstRow="1" w:lastRow="1" w:firstColumn="1" w:lastColumn="1" w:noHBand="0" w:noVBand="0"/>
      </w:tblPr>
      <w:tblGrid>
        <w:gridCol w:w="9576"/>
      </w:tblGrid>
      <w:tr w:rsidR="00037A46" w:rsidTr="00345119">
        <w:tc>
          <w:tcPr>
            <w:tcW w:w="9576" w:type="dxa"/>
          </w:tcPr>
          <w:p w:rsidR="008423E4" w:rsidRPr="00861995" w:rsidRDefault="00E07A77" w:rsidP="00345119">
            <w:pPr>
              <w:jc w:val="right"/>
            </w:pPr>
            <w:r>
              <w:t>C.S.H.B. 3598</w:t>
            </w:r>
          </w:p>
        </w:tc>
      </w:tr>
      <w:tr w:rsidR="00037A46" w:rsidTr="00345119">
        <w:tc>
          <w:tcPr>
            <w:tcW w:w="9576" w:type="dxa"/>
          </w:tcPr>
          <w:p w:rsidR="008423E4" w:rsidRPr="00861995" w:rsidRDefault="00E07A77" w:rsidP="00A04FA1">
            <w:pPr>
              <w:jc w:val="right"/>
            </w:pPr>
            <w:r>
              <w:t xml:space="preserve">By: </w:t>
            </w:r>
            <w:r>
              <w:t>Martinez Fischer</w:t>
            </w:r>
          </w:p>
        </w:tc>
      </w:tr>
      <w:tr w:rsidR="00037A46" w:rsidTr="00345119">
        <w:tc>
          <w:tcPr>
            <w:tcW w:w="9576" w:type="dxa"/>
          </w:tcPr>
          <w:p w:rsidR="008423E4" w:rsidRPr="00861995" w:rsidRDefault="00E07A77" w:rsidP="00345119">
            <w:pPr>
              <w:jc w:val="right"/>
            </w:pPr>
            <w:r>
              <w:t>Business &amp; Industry</w:t>
            </w:r>
          </w:p>
        </w:tc>
      </w:tr>
      <w:tr w:rsidR="00037A46" w:rsidTr="00345119">
        <w:tc>
          <w:tcPr>
            <w:tcW w:w="9576" w:type="dxa"/>
          </w:tcPr>
          <w:p w:rsidR="008423E4" w:rsidRDefault="00E07A77" w:rsidP="00345119">
            <w:pPr>
              <w:jc w:val="right"/>
            </w:pPr>
            <w:r>
              <w:t>Committee Report (Substituted)</w:t>
            </w:r>
          </w:p>
        </w:tc>
      </w:tr>
    </w:tbl>
    <w:p w:rsidR="008423E4" w:rsidRDefault="00E07A77" w:rsidP="008423E4">
      <w:pPr>
        <w:tabs>
          <w:tab w:val="right" w:pos="9360"/>
        </w:tabs>
      </w:pPr>
    </w:p>
    <w:p w:rsidR="008423E4" w:rsidRDefault="00E07A77" w:rsidP="008423E4"/>
    <w:p w:rsidR="008423E4" w:rsidRDefault="00E07A77" w:rsidP="008423E4"/>
    <w:tbl>
      <w:tblPr>
        <w:tblW w:w="0" w:type="auto"/>
        <w:tblCellMar>
          <w:left w:w="115" w:type="dxa"/>
          <w:right w:w="115" w:type="dxa"/>
        </w:tblCellMar>
        <w:tblLook w:val="01E0" w:firstRow="1" w:lastRow="1" w:firstColumn="1" w:lastColumn="1" w:noHBand="0" w:noVBand="0"/>
      </w:tblPr>
      <w:tblGrid>
        <w:gridCol w:w="9576"/>
      </w:tblGrid>
      <w:tr w:rsidR="00037A46" w:rsidTr="00345119">
        <w:tc>
          <w:tcPr>
            <w:tcW w:w="9576" w:type="dxa"/>
          </w:tcPr>
          <w:p w:rsidR="008423E4" w:rsidRPr="00A8133F" w:rsidRDefault="00E07A77" w:rsidP="00F64C92">
            <w:pPr>
              <w:rPr>
                <w:b/>
              </w:rPr>
            </w:pPr>
            <w:r w:rsidRPr="009C1E9A">
              <w:rPr>
                <w:b/>
                <w:u w:val="single"/>
              </w:rPr>
              <w:t>BACKGROUND AND PURPOSE</w:t>
            </w:r>
            <w:r>
              <w:rPr>
                <w:b/>
              </w:rPr>
              <w:t xml:space="preserve"> </w:t>
            </w:r>
          </w:p>
          <w:p w:rsidR="008423E4" w:rsidRDefault="00E07A77" w:rsidP="00F64C92"/>
          <w:p w:rsidR="008423E4" w:rsidRDefault="00E07A77" w:rsidP="00F64C92">
            <w:pPr>
              <w:jc w:val="both"/>
            </w:pPr>
            <w:r>
              <w:t xml:space="preserve">The comptroller of public accounts administers the </w:t>
            </w:r>
            <w:r>
              <w:t xml:space="preserve">state's </w:t>
            </w:r>
            <w:r>
              <w:t>unclaimed property program, which seeks to reunite owners with abandoned property. It has been suggested that current law relating to the program does not adequately take into consideration certain business entities, such as affiliated groups, or administr</w:t>
            </w:r>
            <w:r>
              <w:t>ative realities, such as the ability to advertise the program and sell certain items delivered to the comptroller as unclaimed property. Additionally, concerns have been raised that ambiguities in statute regarding the authority of the comptroller and offi</w:t>
            </w:r>
            <w:r>
              <w:t xml:space="preserve">ce of the attorney general to compel holders </w:t>
            </w:r>
            <w:r>
              <w:t xml:space="preserve">of unclaimed property </w:t>
            </w:r>
            <w:r>
              <w:t>to submit to audits</w:t>
            </w:r>
            <w:r>
              <w:t xml:space="preserve"> interfere with the </w:t>
            </w:r>
            <w:r>
              <w:t xml:space="preserve">comptroller's </w:t>
            </w:r>
            <w:r>
              <w:t xml:space="preserve">ability to successfully complete authorized examinations of books and records. </w:t>
            </w:r>
            <w:r>
              <w:t>C.S.</w:t>
            </w:r>
            <w:r>
              <w:t>H</w:t>
            </w:r>
            <w:r>
              <w:t>.</w:t>
            </w:r>
            <w:r>
              <w:t>B</w:t>
            </w:r>
            <w:r>
              <w:t>.</w:t>
            </w:r>
            <w:r>
              <w:t> </w:t>
            </w:r>
            <w:r>
              <w:t xml:space="preserve">3598 seeks to address </w:t>
            </w:r>
            <w:r>
              <w:t>these and other issues rel</w:t>
            </w:r>
            <w:r>
              <w:t>ating to</w:t>
            </w:r>
            <w:r>
              <w:t xml:space="preserve"> the program </w:t>
            </w:r>
            <w:r>
              <w:t>to provide clarity to property</w:t>
            </w:r>
            <w:r>
              <w:t xml:space="preserve"> holders and owners </w:t>
            </w:r>
            <w:r>
              <w:t>and ensure that the c</w:t>
            </w:r>
            <w:r>
              <w:t>omptroller can fulfill its statutory responsibility to return unclaimed property to the rightful owner.</w:t>
            </w:r>
          </w:p>
          <w:p w:rsidR="008423E4" w:rsidRPr="00E26B13" w:rsidRDefault="00E07A77" w:rsidP="00F64C92">
            <w:pPr>
              <w:rPr>
                <w:b/>
              </w:rPr>
            </w:pPr>
          </w:p>
        </w:tc>
      </w:tr>
      <w:tr w:rsidR="00037A46" w:rsidTr="00345119">
        <w:tc>
          <w:tcPr>
            <w:tcW w:w="9576" w:type="dxa"/>
          </w:tcPr>
          <w:p w:rsidR="0017725B" w:rsidRDefault="00E07A77" w:rsidP="00F64C92">
            <w:pPr>
              <w:rPr>
                <w:b/>
                <w:u w:val="single"/>
              </w:rPr>
            </w:pPr>
            <w:r>
              <w:rPr>
                <w:b/>
                <w:u w:val="single"/>
              </w:rPr>
              <w:t>CRIMINAL JUSTICE IMPACT</w:t>
            </w:r>
          </w:p>
          <w:p w:rsidR="0017725B" w:rsidRDefault="00E07A77" w:rsidP="00F64C92">
            <w:pPr>
              <w:rPr>
                <w:b/>
                <w:u w:val="single"/>
              </w:rPr>
            </w:pPr>
          </w:p>
          <w:p w:rsidR="001D6DC1" w:rsidRPr="001D6DC1" w:rsidRDefault="00E07A77" w:rsidP="00F64C92">
            <w:pPr>
              <w:jc w:val="both"/>
            </w:pPr>
            <w:r>
              <w:t>It is the committee's opinion tha</w:t>
            </w:r>
            <w:r>
              <w:t>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07A77" w:rsidP="00F64C92">
            <w:pPr>
              <w:rPr>
                <w:b/>
                <w:u w:val="single"/>
              </w:rPr>
            </w:pPr>
          </w:p>
        </w:tc>
      </w:tr>
      <w:tr w:rsidR="00037A46" w:rsidTr="00345119">
        <w:tc>
          <w:tcPr>
            <w:tcW w:w="9576" w:type="dxa"/>
          </w:tcPr>
          <w:p w:rsidR="008423E4" w:rsidRPr="00A8133F" w:rsidRDefault="00E07A77" w:rsidP="00F64C92">
            <w:pPr>
              <w:rPr>
                <w:b/>
              </w:rPr>
            </w:pPr>
            <w:r w:rsidRPr="009C1E9A">
              <w:rPr>
                <w:b/>
                <w:u w:val="single"/>
              </w:rPr>
              <w:t>RULEMAKING AUTH</w:t>
            </w:r>
            <w:r w:rsidRPr="009C1E9A">
              <w:rPr>
                <w:b/>
                <w:u w:val="single"/>
              </w:rPr>
              <w:t>ORITY</w:t>
            </w:r>
            <w:r>
              <w:rPr>
                <w:b/>
              </w:rPr>
              <w:t xml:space="preserve"> </w:t>
            </w:r>
          </w:p>
          <w:p w:rsidR="008423E4" w:rsidRDefault="00E07A77" w:rsidP="00F64C92"/>
          <w:p w:rsidR="001D6DC1" w:rsidRDefault="00E07A77" w:rsidP="00F64C9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07A77" w:rsidP="00F64C92">
            <w:pPr>
              <w:rPr>
                <w:b/>
              </w:rPr>
            </w:pPr>
          </w:p>
        </w:tc>
      </w:tr>
      <w:tr w:rsidR="00037A46" w:rsidTr="00345119">
        <w:tc>
          <w:tcPr>
            <w:tcW w:w="9576" w:type="dxa"/>
          </w:tcPr>
          <w:p w:rsidR="008423E4" w:rsidRPr="00A8133F" w:rsidRDefault="00E07A77" w:rsidP="00F64C92">
            <w:pPr>
              <w:rPr>
                <w:b/>
              </w:rPr>
            </w:pPr>
            <w:r w:rsidRPr="009C1E9A">
              <w:rPr>
                <w:b/>
                <w:u w:val="single"/>
              </w:rPr>
              <w:t>ANALYSIS</w:t>
            </w:r>
            <w:r>
              <w:rPr>
                <w:b/>
              </w:rPr>
              <w:t xml:space="preserve"> </w:t>
            </w:r>
          </w:p>
          <w:p w:rsidR="008423E4" w:rsidRDefault="00E07A77" w:rsidP="00F64C92"/>
          <w:p w:rsidR="00F10A60" w:rsidRDefault="00E07A77" w:rsidP="00F64C92">
            <w:pPr>
              <w:pStyle w:val="Header"/>
              <w:tabs>
                <w:tab w:val="clear" w:pos="4320"/>
                <w:tab w:val="clear" w:pos="8640"/>
              </w:tabs>
              <w:jc w:val="both"/>
            </w:pPr>
            <w:r>
              <w:t>C.S.</w:t>
            </w:r>
            <w:r>
              <w:t xml:space="preserve">H.B. 3598 amends the Property Code to </w:t>
            </w:r>
            <w:r>
              <w:t xml:space="preserve">remove the </w:t>
            </w:r>
            <w:r>
              <w:t xml:space="preserve">condition that the </w:t>
            </w:r>
            <w:r>
              <w:t>existence of unclaimed</w:t>
            </w:r>
            <w:r>
              <w:t xml:space="preserve"> personal property </w:t>
            </w:r>
            <w:r>
              <w:t xml:space="preserve">be unknown to the holder of the property for longer than three years for it to be </w:t>
            </w:r>
            <w:r>
              <w:t xml:space="preserve">presumed abandoned. The bill </w:t>
            </w:r>
            <w:r>
              <w:t xml:space="preserve">clarifies that </w:t>
            </w:r>
            <w:r>
              <w:t xml:space="preserve">statutory provisions relating to the report, delivery, and claims process for </w:t>
            </w:r>
            <w:r>
              <w:t xml:space="preserve">abandoned </w:t>
            </w:r>
            <w:r>
              <w:t>p</w:t>
            </w:r>
            <w:r>
              <w:t xml:space="preserve">ersonal </w:t>
            </w:r>
            <w:r>
              <w:t>property</w:t>
            </w:r>
            <w:r>
              <w:t xml:space="preserve">, </w:t>
            </w:r>
            <w:r>
              <w:t xml:space="preserve">abandoned </w:t>
            </w:r>
            <w:r>
              <w:t xml:space="preserve">property held by a financial institution, or </w:t>
            </w:r>
            <w:r>
              <w:t xml:space="preserve">abandoned </w:t>
            </w:r>
            <w:r>
              <w:t>mineral proceeds</w:t>
            </w:r>
            <w:r>
              <w:t xml:space="preserve"> </w:t>
            </w:r>
            <w:r>
              <w:t>apply to the property instead of applying to the</w:t>
            </w:r>
            <w:r>
              <w:t xml:space="preserve"> holder of </w:t>
            </w:r>
            <w:r>
              <w:t xml:space="preserve">the </w:t>
            </w:r>
            <w:r>
              <w:t xml:space="preserve">property. The bill </w:t>
            </w:r>
            <w:r>
              <w:t xml:space="preserve">changes </w:t>
            </w:r>
            <w:r>
              <w:t>when the 10-year retention period</w:t>
            </w:r>
            <w:r>
              <w:t xml:space="preserve"> for </w:t>
            </w:r>
            <w:r>
              <w:t xml:space="preserve">certain records of </w:t>
            </w:r>
            <w:r>
              <w:t xml:space="preserve">a holder </w:t>
            </w:r>
            <w:r>
              <w:t>of applicable property</w:t>
            </w:r>
            <w:r>
              <w:t xml:space="preserve"> begins</w:t>
            </w:r>
            <w:r>
              <w:t xml:space="preserve"> from the date on which the property is reportable to</w:t>
            </w:r>
            <w:r>
              <w:t xml:space="preserve"> the later of </w:t>
            </w:r>
            <w:r w:rsidRPr="007D33B0">
              <w:t>th</w:t>
            </w:r>
            <w:r>
              <w:t>at</w:t>
            </w:r>
            <w:r w:rsidRPr="007D33B0">
              <w:t xml:space="preserve"> </w:t>
            </w:r>
            <w:r w:rsidRPr="007D33B0">
              <w:t xml:space="preserve">date </w:t>
            </w:r>
            <w:r>
              <w:t xml:space="preserve">or the date </w:t>
            </w:r>
            <w:r>
              <w:t xml:space="preserve">a property </w:t>
            </w:r>
            <w:r>
              <w:t>report is filed.</w:t>
            </w:r>
            <w:r>
              <w:t xml:space="preserve"> </w:t>
            </w:r>
          </w:p>
          <w:p w:rsidR="00F10A60" w:rsidRDefault="00E07A77" w:rsidP="00F64C92">
            <w:pPr>
              <w:pStyle w:val="Header"/>
              <w:tabs>
                <w:tab w:val="clear" w:pos="4320"/>
                <w:tab w:val="clear" w:pos="8640"/>
              </w:tabs>
              <w:jc w:val="both"/>
            </w:pPr>
          </w:p>
          <w:p w:rsidR="007D33B0" w:rsidRDefault="00E07A77" w:rsidP="00F64C92">
            <w:pPr>
              <w:pStyle w:val="Header"/>
              <w:tabs>
                <w:tab w:val="clear" w:pos="4320"/>
                <w:tab w:val="clear" w:pos="8640"/>
              </w:tabs>
              <w:jc w:val="both"/>
            </w:pPr>
            <w:r>
              <w:t>C.S.</w:t>
            </w:r>
            <w:r>
              <w:t xml:space="preserve">H.B. 3598 </w:t>
            </w:r>
            <w:r>
              <w:t>provides for combined reporting by</w:t>
            </w:r>
            <w:r>
              <w:t xml:space="preserve"> </w:t>
            </w:r>
            <w:r w:rsidRPr="009520CD">
              <w:t xml:space="preserve">a holder </w:t>
            </w:r>
            <w:r>
              <w:t>who</w:t>
            </w:r>
            <w:r w:rsidRPr="009520CD">
              <w:t xml:space="preserve"> </w:t>
            </w:r>
            <w:r w:rsidRPr="009520CD">
              <w:t xml:space="preserve">is required to file a property report </w:t>
            </w:r>
            <w:r>
              <w:t>and who</w:t>
            </w:r>
            <w:r>
              <w:t xml:space="preserve"> </w:t>
            </w:r>
            <w:r w:rsidRPr="009520CD">
              <w:t>is a member of an affiliated group</w:t>
            </w:r>
            <w:r>
              <w:t xml:space="preserve"> </w:t>
            </w:r>
            <w:r>
              <w:t xml:space="preserve">by requiring the holder to </w:t>
            </w:r>
            <w:r w:rsidRPr="009520CD">
              <w:t>file one report for the affiliated group.</w:t>
            </w:r>
            <w:r>
              <w:t xml:space="preserve"> The bill requires a </w:t>
            </w:r>
            <w:r>
              <w:t xml:space="preserve">person </w:t>
            </w:r>
            <w:r w:rsidRPr="009520CD">
              <w:t xml:space="preserve">who is required to file </w:t>
            </w:r>
            <w:r>
              <w:t xml:space="preserve">such </w:t>
            </w:r>
            <w:r w:rsidRPr="009520CD">
              <w:t>a property report</w:t>
            </w:r>
            <w:r>
              <w:t xml:space="preserve"> </w:t>
            </w:r>
            <w:r w:rsidRPr="009520CD">
              <w:t xml:space="preserve">in any year </w:t>
            </w:r>
            <w:r>
              <w:t>to</w:t>
            </w:r>
            <w:r w:rsidRPr="009520CD">
              <w:t xml:space="preserve"> file a property report in each successive year</w:t>
            </w:r>
            <w:r>
              <w:t xml:space="preserve"> or, if a person </w:t>
            </w:r>
            <w:r>
              <w:t xml:space="preserve">to whom this requirement applies is not holding </w:t>
            </w:r>
            <w:r>
              <w:t>any reportable property</w:t>
            </w:r>
            <w:r>
              <w:t xml:space="preserve">, requires the person to certify that fact. The bill authorizes the comptroller of public accounts to </w:t>
            </w:r>
            <w:r w:rsidRPr="009520CD">
              <w:t>advertise or otherwise promote the unclaimed property program in any available medi</w:t>
            </w:r>
            <w:r w:rsidRPr="009520CD">
              <w:t xml:space="preserve">a to further the purposes of </w:t>
            </w:r>
            <w:r>
              <w:t>the applicable statutory provisions</w:t>
            </w:r>
            <w:r w:rsidRPr="009520CD">
              <w:t xml:space="preserve"> and to provide effective and efficient notice to reported owners.</w:t>
            </w:r>
            <w:r>
              <w:t xml:space="preserve"> The bill </w:t>
            </w:r>
            <w:r>
              <w:t>revises certain</w:t>
            </w:r>
            <w:r>
              <w:t xml:space="preserve"> requirement</w:t>
            </w:r>
            <w:r>
              <w:t xml:space="preserve">s relating </w:t>
            </w:r>
            <w:r>
              <w:t>to the</w:t>
            </w:r>
            <w:r>
              <w:t xml:space="preserve"> comptroller</w:t>
            </w:r>
            <w:r>
              <w:t>'s</w:t>
            </w:r>
            <w:r>
              <w:t xml:space="preserve"> public sale </w:t>
            </w:r>
            <w:r>
              <w:t xml:space="preserve">of </w:t>
            </w:r>
            <w:r>
              <w:t>personal property</w:t>
            </w:r>
            <w:r w:rsidRPr="009520CD">
              <w:t xml:space="preserve"> </w:t>
            </w:r>
            <w:r>
              <w:t xml:space="preserve">that is </w:t>
            </w:r>
            <w:r w:rsidRPr="009520CD">
              <w:t>delivered to the</w:t>
            </w:r>
            <w:r w:rsidRPr="009520CD">
              <w:t xml:space="preserve"> comptroller</w:t>
            </w:r>
            <w:r>
              <w:t xml:space="preserve"> as required by statute for applicable abandoned property</w:t>
            </w:r>
            <w:r w:rsidRPr="00482AC8">
              <w:t>.</w:t>
            </w:r>
          </w:p>
          <w:p w:rsidR="00482AC8" w:rsidRDefault="00E07A77" w:rsidP="00F64C92">
            <w:pPr>
              <w:pStyle w:val="Header"/>
              <w:tabs>
                <w:tab w:val="clear" w:pos="4320"/>
                <w:tab w:val="clear" w:pos="8640"/>
              </w:tabs>
              <w:jc w:val="both"/>
            </w:pPr>
          </w:p>
          <w:p w:rsidR="004846DE" w:rsidRDefault="00E07A77" w:rsidP="00F64C92">
            <w:pPr>
              <w:pStyle w:val="Header"/>
              <w:jc w:val="both"/>
            </w:pPr>
            <w:r>
              <w:t>C.S.</w:t>
            </w:r>
            <w:r>
              <w:t xml:space="preserve">H.B. 3598 </w:t>
            </w:r>
            <w:r>
              <w:t xml:space="preserve">specifies that the comptroller may approve the claim of </w:t>
            </w:r>
            <w:r w:rsidRPr="00692946">
              <w:t>the court-appointed administrator of the estate</w:t>
            </w:r>
            <w:r>
              <w:t xml:space="preserve"> of a reported owner who died intestate </w:t>
            </w:r>
            <w:r>
              <w:t>to</w:t>
            </w:r>
            <w:r>
              <w:t xml:space="preserve"> property delivered to th</w:t>
            </w:r>
            <w:r>
              <w:t>e comptroller as abandoned, if other conditions are met, on the condition that</w:t>
            </w:r>
            <w:r w:rsidRPr="00692946">
              <w:t xml:space="preserve"> </w:t>
            </w:r>
            <w:r w:rsidRPr="00692946">
              <w:t>the administrator was appointed before the fourth anniversary of the</w:t>
            </w:r>
            <w:r>
              <w:t xml:space="preserve"> date of the </w:t>
            </w:r>
            <w:r>
              <w:t xml:space="preserve">owner's </w:t>
            </w:r>
            <w:r>
              <w:t xml:space="preserve">death. </w:t>
            </w:r>
            <w:r>
              <w:t xml:space="preserve">The bill prohibits the comptroller from paying such a claim to </w:t>
            </w:r>
            <w:r w:rsidRPr="00140CB0">
              <w:t>a person attemptin</w:t>
            </w:r>
            <w:r w:rsidRPr="00140CB0">
              <w:t>g to make a claim on behalf of a corporation that was previously forfeited, dissolved, or terminated, if the comptroller finds that</w:t>
            </w:r>
            <w:r>
              <w:t xml:space="preserve"> the corporation was revived for the purpose of making such a claim and </w:t>
            </w:r>
            <w:r>
              <w:t xml:space="preserve">that </w:t>
            </w:r>
            <w:r>
              <w:t>the person submitting the claim was not an autho</w:t>
            </w:r>
            <w:r>
              <w:t xml:space="preserve">rized representative of the corporation at the time of </w:t>
            </w:r>
            <w:r>
              <w:t xml:space="preserve">that </w:t>
            </w:r>
            <w:r>
              <w:t>forfeiture, dissolution, or termination. The bill</w:t>
            </w:r>
            <w:r>
              <w:t xml:space="preserve"> </w:t>
            </w:r>
            <w:r>
              <w:t>expands</w:t>
            </w:r>
            <w:r>
              <w:t xml:space="preserve"> </w:t>
            </w:r>
            <w:r>
              <w:t>the authority</w:t>
            </w:r>
            <w:r>
              <w:t xml:space="preserve"> of the comptroller, the attorney general, or an authorized agent of either </w:t>
            </w:r>
            <w:r>
              <w:t xml:space="preserve">to examine applicable records </w:t>
            </w:r>
            <w:r>
              <w:t>by doing the follow</w:t>
            </w:r>
            <w:r>
              <w:t>ing</w:t>
            </w:r>
            <w:r>
              <w:t>:</w:t>
            </w:r>
          </w:p>
          <w:p w:rsidR="004846DE" w:rsidRDefault="00E07A77" w:rsidP="00F64C92">
            <w:pPr>
              <w:pStyle w:val="Header"/>
              <w:numPr>
                <w:ilvl w:val="0"/>
                <w:numId w:val="1"/>
              </w:numPr>
              <w:spacing w:before="120" w:after="120"/>
              <w:jc w:val="both"/>
            </w:pPr>
            <w:r>
              <w:t>specifying th</w:t>
            </w:r>
            <w:r w:rsidRPr="00140CB0">
              <w:t xml:space="preserve">at </w:t>
            </w:r>
            <w:r>
              <w:t>such an examination may be made at any reasonable</w:t>
            </w:r>
            <w:r w:rsidRPr="00140CB0">
              <w:t xml:space="preserve"> place</w:t>
            </w:r>
            <w:r>
              <w:t xml:space="preserve">; </w:t>
            </w:r>
          </w:p>
          <w:p w:rsidR="004846DE" w:rsidRDefault="00E07A77" w:rsidP="00F64C92">
            <w:pPr>
              <w:pStyle w:val="Header"/>
              <w:numPr>
                <w:ilvl w:val="0"/>
                <w:numId w:val="1"/>
              </w:numPr>
              <w:spacing w:before="120" w:after="120"/>
              <w:jc w:val="both"/>
            </w:pPr>
            <w:r>
              <w:t xml:space="preserve">changing the person subject to </w:t>
            </w:r>
            <w:r>
              <w:t>such an</w:t>
            </w:r>
            <w:r>
              <w:t xml:space="preserve"> examination from the holder of applicable property to </w:t>
            </w:r>
            <w:r w:rsidRPr="00140CB0">
              <w:t>any person</w:t>
            </w:r>
            <w:r>
              <w:t>;</w:t>
            </w:r>
          </w:p>
          <w:p w:rsidR="00482AC8" w:rsidRDefault="00E07A77" w:rsidP="00F64C92">
            <w:pPr>
              <w:pStyle w:val="Header"/>
              <w:numPr>
                <w:ilvl w:val="0"/>
                <w:numId w:val="1"/>
              </w:numPr>
              <w:spacing w:before="120" w:after="120"/>
              <w:jc w:val="both"/>
            </w:pPr>
            <w:r>
              <w:t xml:space="preserve">establishing that </w:t>
            </w:r>
            <w:r>
              <w:t>the authority applies to</w:t>
            </w:r>
            <w:r>
              <w:t xml:space="preserve"> </w:t>
            </w:r>
            <w:r w:rsidRPr="00140CB0">
              <w:t xml:space="preserve">any books, records, papers, </w:t>
            </w:r>
            <w:r w:rsidRPr="00140CB0">
              <w:t>information, or other objects determined by the comptroller or attorney general to be necessary to conduct a complete examination</w:t>
            </w:r>
            <w:r>
              <w:t xml:space="preserve">. </w:t>
            </w:r>
          </w:p>
          <w:p w:rsidR="00492694" w:rsidRDefault="00E07A77" w:rsidP="00F64C92">
            <w:pPr>
              <w:pStyle w:val="Header"/>
              <w:jc w:val="both"/>
            </w:pPr>
          </w:p>
          <w:p w:rsidR="00D02990" w:rsidRDefault="00E07A77" w:rsidP="00F64C92">
            <w:pPr>
              <w:pStyle w:val="Header"/>
              <w:jc w:val="both"/>
            </w:pPr>
            <w:r>
              <w:t>C.S.</w:t>
            </w:r>
            <w:r>
              <w:t xml:space="preserve">H.B. 3598 prohibits the comptroller or attorney general from beginning </w:t>
            </w:r>
            <w:r w:rsidRPr="00492694">
              <w:t xml:space="preserve">an </w:t>
            </w:r>
            <w:r>
              <w:t xml:space="preserve">applicable </w:t>
            </w:r>
            <w:r w:rsidRPr="00492694">
              <w:t xml:space="preserve">examination </w:t>
            </w:r>
            <w:r>
              <w:t xml:space="preserve">of records </w:t>
            </w:r>
            <w:r w:rsidRPr="00492694">
              <w:t>after the s</w:t>
            </w:r>
            <w:r w:rsidRPr="00492694">
              <w:t>eventh anniversary of the date a perso</w:t>
            </w:r>
            <w:r>
              <w:t xml:space="preserve">n filed a property report. </w:t>
            </w:r>
            <w:r>
              <w:t xml:space="preserve">This </w:t>
            </w:r>
            <w:r>
              <w:t xml:space="preserve">limitation </w:t>
            </w:r>
            <w:r>
              <w:t xml:space="preserve">period expressly </w:t>
            </w:r>
            <w:r>
              <w:t xml:space="preserve">does not apply </w:t>
            </w:r>
            <w:r>
              <w:t>under the following circumstances:</w:t>
            </w:r>
          </w:p>
          <w:p w:rsidR="00D02990" w:rsidRDefault="00E07A77" w:rsidP="00F64C92">
            <w:pPr>
              <w:pStyle w:val="Header"/>
              <w:numPr>
                <w:ilvl w:val="0"/>
                <w:numId w:val="2"/>
              </w:numPr>
              <w:spacing w:before="120" w:after="120"/>
              <w:jc w:val="both"/>
            </w:pPr>
            <w:r>
              <w:t xml:space="preserve">if the person has filed a false or fraudulent property report with the intent to avoid required delivery of </w:t>
            </w:r>
            <w:r>
              <w:t>unclaimed property to the comptroller;</w:t>
            </w:r>
          </w:p>
          <w:p w:rsidR="00D02990" w:rsidRDefault="00E07A77" w:rsidP="00F64C92">
            <w:pPr>
              <w:pStyle w:val="Header"/>
              <w:numPr>
                <w:ilvl w:val="0"/>
                <w:numId w:val="2"/>
              </w:numPr>
              <w:spacing w:before="120" w:after="120"/>
              <w:jc w:val="both"/>
            </w:pPr>
            <w:r>
              <w:t xml:space="preserve">if </w:t>
            </w:r>
            <w:r>
              <w:t>a property report for a period has not been filed</w:t>
            </w:r>
            <w:r>
              <w:t xml:space="preserve">; </w:t>
            </w:r>
            <w:r>
              <w:t xml:space="preserve">or </w:t>
            </w:r>
          </w:p>
          <w:p w:rsidR="004544E0" w:rsidRDefault="00E07A77" w:rsidP="00F64C92">
            <w:pPr>
              <w:pStyle w:val="Header"/>
              <w:numPr>
                <w:ilvl w:val="0"/>
                <w:numId w:val="2"/>
              </w:numPr>
              <w:spacing w:before="120" w:after="120"/>
              <w:jc w:val="both"/>
            </w:pPr>
            <w:r>
              <w:t xml:space="preserve">if </w:t>
            </w:r>
            <w:r>
              <w:t xml:space="preserve">a court grants a petition to compel the person to submit to </w:t>
            </w:r>
            <w:r>
              <w:t xml:space="preserve">such </w:t>
            </w:r>
            <w:r>
              <w:t>an examination under these statutory provisions, deliver property, or file a property repor</w:t>
            </w:r>
            <w:r>
              <w:t xml:space="preserve">t. </w:t>
            </w:r>
          </w:p>
          <w:p w:rsidR="00ED1A59" w:rsidRDefault="00E07A77" w:rsidP="00F64C92">
            <w:pPr>
              <w:pStyle w:val="Header"/>
              <w:jc w:val="both"/>
            </w:pPr>
            <w:r>
              <w:t>A</w:t>
            </w:r>
            <w:r w:rsidRPr="00492694">
              <w:t xml:space="preserve"> person</w:t>
            </w:r>
            <w:r>
              <w:t xml:space="preserve"> who has filed a false or fraudulent report</w:t>
            </w:r>
            <w:r w:rsidRPr="00492694">
              <w:t xml:space="preserve"> is presumed to have acted with intent to avoid </w:t>
            </w:r>
            <w:r>
              <w:t xml:space="preserve">required </w:t>
            </w:r>
            <w:r w:rsidRPr="00492694">
              <w:t xml:space="preserve">delivery of property if, after correction of </w:t>
            </w:r>
            <w:r>
              <w:t xml:space="preserve">such </w:t>
            </w:r>
            <w:r w:rsidRPr="00492694">
              <w:t>a report, the amount of property to be delivered exceeds the amount initially reported by at l</w:t>
            </w:r>
            <w:r w:rsidRPr="00492694">
              <w:t>east 25 percent.</w:t>
            </w:r>
            <w:r>
              <w:t xml:space="preserve"> </w:t>
            </w:r>
          </w:p>
          <w:p w:rsidR="00ED1A59" w:rsidRDefault="00E07A77" w:rsidP="00F64C92">
            <w:pPr>
              <w:pStyle w:val="Header"/>
              <w:jc w:val="both"/>
            </w:pPr>
          </w:p>
          <w:p w:rsidR="00EA0F12" w:rsidRDefault="00E07A77" w:rsidP="00F64C92">
            <w:pPr>
              <w:pStyle w:val="Header"/>
              <w:jc w:val="both"/>
            </w:pPr>
            <w:r>
              <w:t>C.S.</w:t>
            </w:r>
            <w:r>
              <w:t>H.B. 3598</w:t>
            </w:r>
            <w:r>
              <w:t xml:space="preserve"> requires the attorney general to assist the comptroller in enforcing statutory provisions relating to unclaimed property </w:t>
            </w:r>
            <w:r>
              <w:t xml:space="preserve">at </w:t>
            </w:r>
            <w:r>
              <w:t>the comptroller</w:t>
            </w:r>
            <w:r>
              <w:t>'s</w:t>
            </w:r>
            <w:r>
              <w:t xml:space="preserve"> request. The bill </w:t>
            </w:r>
            <w:r>
              <w:t xml:space="preserve">includes </w:t>
            </w:r>
            <w:r>
              <w:t xml:space="preserve">the Texas Workforce Commission or </w:t>
            </w:r>
            <w:r w:rsidRPr="00492694">
              <w:t>any other state agen</w:t>
            </w:r>
            <w:r w:rsidRPr="00492694">
              <w:t xml:space="preserve">cy or political subdivision </w:t>
            </w:r>
            <w:r>
              <w:t>among the entities required</w:t>
            </w:r>
            <w:r>
              <w:t xml:space="preserve"> to </w:t>
            </w:r>
            <w:r w:rsidRPr="00492694">
              <w:t xml:space="preserve">assist the comptroller or attorney general in enforcing </w:t>
            </w:r>
            <w:r>
              <w:t>those provisions</w:t>
            </w:r>
            <w:r>
              <w:t xml:space="preserve"> on request</w:t>
            </w:r>
            <w:r>
              <w:t xml:space="preserve">. The bill prohibits </w:t>
            </w:r>
            <w:r w:rsidRPr="00492694">
              <w:t xml:space="preserve">a state agency or political subdivision </w:t>
            </w:r>
            <w:r>
              <w:t>from imposing</w:t>
            </w:r>
            <w:r w:rsidRPr="00492694">
              <w:t xml:space="preserve"> a charge for providing a copy of public</w:t>
            </w:r>
            <w:r w:rsidRPr="00492694">
              <w:t xml:space="preserve"> information requested by the comptroller under this </w:t>
            </w:r>
            <w:r>
              <w:t>requirement</w:t>
            </w:r>
            <w:r>
              <w:t xml:space="preserve"> to assist in enforcement</w:t>
            </w:r>
            <w:r>
              <w:t xml:space="preserve">. </w:t>
            </w:r>
            <w:r>
              <w:t xml:space="preserve">The bill </w:t>
            </w:r>
            <w:r>
              <w:t xml:space="preserve">requires </w:t>
            </w:r>
            <w:r>
              <w:t>the attorney general</w:t>
            </w:r>
            <w:r>
              <w:t>,</w:t>
            </w:r>
            <w:r>
              <w:t xml:space="preserve"> </w:t>
            </w:r>
            <w:r>
              <w:t xml:space="preserve">on request of the comptroller, </w:t>
            </w:r>
            <w:r>
              <w:t>to bring</w:t>
            </w:r>
            <w:r>
              <w:t xml:space="preserve"> certain actions in the name of the state for purposes of such enforcement</w:t>
            </w:r>
            <w:r>
              <w:t xml:space="preserve"> to include an action</w:t>
            </w:r>
            <w:r>
              <w:t xml:space="preserve"> to compel a person </w:t>
            </w:r>
            <w:r>
              <w:t xml:space="preserve">to </w:t>
            </w:r>
            <w:r w:rsidRPr="00EA0F12">
              <w:t xml:space="preserve">permit </w:t>
            </w:r>
            <w:r>
              <w:t xml:space="preserve">an applicable </w:t>
            </w:r>
            <w:r w:rsidRPr="00EA0F12">
              <w:t>examination of records</w:t>
            </w:r>
            <w:r w:rsidRPr="00492694">
              <w:t>.</w:t>
            </w:r>
            <w:r>
              <w:t xml:space="preserve"> </w:t>
            </w:r>
          </w:p>
          <w:p w:rsidR="00EA0F12" w:rsidRDefault="00E07A77" w:rsidP="00F64C92">
            <w:pPr>
              <w:pStyle w:val="Header"/>
              <w:jc w:val="both"/>
            </w:pPr>
          </w:p>
          <w:p w:rsidR="00492694" w:rsidRDefault="00E07A77" w:rsidP="00F64C92">
            <w:pPr>
              <w:pStyle w:val="Header"/>
              <w:jc w:val="both"/>
            </w:pPr>
            <w:r>
              <w:t>C.S.</w:t>
            </w:r>
            <w:r>
              <w:t>H.B. 3598 authorizes the comptroller, to enforce provisions relating to unclaimed property, to take testimony, administer oaths, and issue</w:t>
            </w:r>
            <w:r>
              <w:t xml:space="preserve"> certain</w:t>
            </w:r>
            <w:r>
              <w:t xml:space="preserve"> subpoenas</w:t>
            </w:r>
            <w:r>
              <w:t xml:space="preserve"> and</w:t>
            </w:r>
            <w:r>
              <w:t xml:space="preserve"> </w:t>
            </w:r>
            <w:r>
              <w:t xml:space="preserve">to delegate </w:t>
            </w:r>
            <w:r w:rsidRPr="00EA0F12">
              <w:t>th</w:t>
            </w:r>
            <w:r>
              <w:t>is</w:t>
            </w:r>
            <w:r w:rsidRPr="00EA0F12">
              <w:t xml:space="preserve"> </w:t>
            </w:r>
            <w:r w:rsidRPr="00EA0F12">
              <w:t>authority to an attorney employed by the comptroller.</w:t>
            </w:r>
            <w:r>
              <w:t xml:space="preserve"> The bill </w:t>
            </w:r>
            <w:r>
              <w:t>provides for the service of</w:t>
            </w:r>
            <w:r>
              <w:t xml:space="preserve"> such</w:t>
            </w:r>
            <w:r w:rsidRPr="00EA0F12">
              <w:t xml:space="preserve"> a subpoena</w:t>
            </w:r>
            <w:r>
              <w:t xml:space="preserve"> and</w:t>
            </w:r>
            <w:r>
              <w:t xml:space="preserve"> </w:t>
            </w:r>
            <w:r>
              <w:t>sets out provisions relating to its enforcement</w:t>
            </w:r>
            <w:r w:rsidRPr="00EA0F12">
              <w:t>.</w:t>
            </w:r>
          </w:p>
          <w:p w:rsidR="001D6DC1" w:rsidRDefault="00E07A77" w:rsidP="00F64C92">
            <w:pPr>
              <w:pStyle w:val="Header"/>
              <w:jc w:val="both"/>
            </w:pPr>
          </w:p>
          <w:p w:rsidR="001D6DC1" w:rsidRDefault="00E07A77" w:rsidP="00F64C92">
            <w:pPr>
              <w:pStyle w:val="Header"/>
              <w:jc w:val="both"/>
            </w:pPr>
            <w:r>
              <w:t xml:space="preserve">C.S.H.B. 3598 repeals </w:t>
            </w:r>
            <w:r w:rsidRPr="001D6DC1">
              <w:t>Section 74.401(c), Property Code</w:t>
            </w:r>
            <w:r>
              <w:t>, relating to the dispos</w:t>
            </w:r>
            <w:r>
              <w:t xml:space="preserve">ition of property delivered to the comptroller for public sale that belongs to a person with an address outside </w:t>
            </w:r>
            <w:r>
              <w:t>Texas</w:t>
            </w:r>
            <w:r>
              <w:t xml:space="preserve"> or the sale of which is determined to exceed its value</w:t>
            </w:r>
            <w:r>
              <w:t xml:space="preserve">. </w:t>
            </w:r>
          </w:p>
          <w:p w:rsidR="008423E4" w:rsidRDefault="00E07A77" w:rsidP="00F64C92">
            <w:pPr>
              <w:rPr>
                <w:b/>
              </w:rPr>
            </w:pPr>
          </w:p>
          <w:p w:rsidR="00725945" w:rsidRDefault="00E07A77" w:rsidP="00F64C92">
            <w:pPr>
              <w:rPr>
                <w:b/>
              </w:rPr>
            </w:pPr>
          </w:p>
          <w:p w:rsidR="00725945" w:rsidRPr="00835628" w:rsidRDefault="00E07A77" w:rsidP="00F64C92">
            <w:pPr>
              <w:rPr>
                <w:b/>
              </w:rPr>
            </w:pPr>
          </w:p>
        </w:tc>
      </w:tr>
      <w:tr w:rsidR="00037A46" w:rsidTr="00345119">
        <w:tc>
          <w:tcPr>
            <w:tcW w:w="9576" w:type="dxa"/>
          </w:tcPr>
          <w:p w:rsidR="008423E4" w:rsidRPr="00A8133F" w:rsidRDefault="00E07A77" w:rsidP="00F64C92">
            <w:pPr>
              <w:rPr>
                <w:b/>
              </w:rPr>
            </w:pPr>
            <w:r w:rsidRPr="009C1E9A">
              <w:rPr>
                <w:b/>
                <w:u w:val="single"/>
              </w:rPr>
              <w:t>EFFECTIVE DATE</w:t>
            </w:r>
            <w:r>
              <w:rPr>
                <w:b/>
              </w:rPr>
              <w:t xml:space="preserve"> </w:t>
            </w:r>
          </w:p>
          <w:p w:rsidR="008423E4" w:rsidRDefault="00E07A77" w:rsidP="00F64C92"/>
          <w:p w:rsidR="008423E4" w:rsidRPr="003624F2" w:rsidRDefault="00E07A77" w:rsidP="00F64C92">
            <w:pPr>
              <w:pStyle w:val="Header"/>
              <w:tabs>
                <w:tab w:val="clear" w:pos="4320"/>
                <w:tab w:val="clear" w:pos="8640"/>
              </w:tabs>
              <w:jc w:val="both"/>
            </w:pPr>
            <w:r>
              <w:t xml:space="preserve">On passage, or, if the bill does not receive the necessary </w:t>
            </w:r>
            <w:r>
              <w:t>vote, September 1, 2019.</w:t>
            </w:r>
          </w:p>
          <w:p w:rsidR="008423E4" w:rsidRPr="00233FDB" w:rsidRDefault="00E07A77" w:rsidP="00F64C92">
            <w:pPr>
              <w:rPr>
                <w:b/>
              </w:rPr>
            </w:pPr>
          </w:p>
        </w:tc>
      </w:tr>
      <w:tr w:rsidR="00037A46" w:rsidTr="00345119">
        <w:tc>
          <w:tcPr>
            <w:tcW w:w="9576" w:type="dxa"/>
          </w:tcPr>
          <w:p w:rsidR="00A04FA1" w:rsidRDefault="00E07A77" w:rsidP="00F64C92">
            <w:pPr>
              <w:jc w:val="both"/>
              <w:rPr>
                <w:b/>
                <w:u w:val="single"/>
              </w:rPr>
            </w:pPr>
            <w:r>
              <w:rPr>
                <w:b/>
                <w:u w:val="single"/>
              </w:rPr>
              <w:t>COMPARISON OF ORIGINAL AND SUBSTITUTE</w:t>
            </w:r>
          </w:p>
          <w:p w:rsidR="00BD6FDA" w:rsidRDefault="00E07A77" w:rsidP="00F64C92">
            <w:pPr>
              <w:jc w:val="both"/>
            </w:pPr>
          </w:p>
          <w:p w:rsidR="00BD6FDA" w:rsidRDefault="00E07A77" w:rsidP="00F64C92">
            <w:pPr>
              <w:jc w:val="both"/>
            </w:pPr>
            <w:r>
              <w:t>While C.S.H.B. 3598 may differ from the original in minor or nonsubstantive ways, the following summarizes the substantial differences between the introduced and committee substitute version</w:t>
            </w:r>
            <w:r>
              <w:t>s of the bill.</w:t>
            </w:r>
          </w:p>
          <w:p w:rsidR="00BD6FDA" w:rsidRDefault="00E07A77" w:rsidP="00F64C92">
            <w:pPr>
              <w:jc w:val="both"/>
            </w:pPr>
          </w:p>
          <w:p w:rsidR="00BD6FDA" w:rsidRDefault="00E07A77" w:rsidP="00F64C92">
            <w:pPr>
              <w:jc w:val="both"/>
            </w:pPr>
            <w:r>
              <w:t xml:space="preserve">The substitute </w:t>
            </w:r>
            <w:r>
              <w:t xml:space="preserve">does not include </w:t>
            </w:r>
            <w:r>
              <w:t xml:space="preserve">a provision </w:t>
            </w:r>
            <w:r w:rsidRPr="00BF76BB">
              <w:t>establish</w:t>
            </w:r>
            <w:r>
              <w:t>ing</w:t>
            </w:r>
            <w:r w:rsidRPr="00BF76BB">
              <w:t xml:space="preserve"> </w:t>
            </w:r>
            <w:r>
              <w:t>an</w:t>
            </w:r>
            <w:r w:rsidRPr="00BF76BB">
              <w:t xml:space="preserve"> </w:t>
            </w:r>
            <w:r>
              <w:t>affiliated</w:t>
            </w:r>
            <w:r w:rsidRPr="00BF76BB">
              <w:t xml:space="preserve"> group as a single entity for purposes of the application and enforcement of statutory provisions relating to unclaimed property</w:t>
            </w:r>
            <w:r>
              <w:t>.</w:t>
            </w:r>
          </w:p>
          <w:p w:rsidR="00BD6FDA" w:rsidRPr="00BD6FDA" w:rsidRDefault="00E07A77" w:rsidP="00F64C92">
            <w:pPr>
              <w:jc w:val="both"/>
            </w:pPr>
          </w:p>
        </w:tc>
      </w:tr>
      <w:tr w:rsidR="00037A46" w:rsidTr="00345119">
        <w:tc>
          <w:tcPr>
            <w:tcW w:w="9576" w:type="dxa"/>
          </w:tcPr>
          <w:p w:rsidR="00A04FA1" w:rsidRPr="009C1E9A" w:rsidRDefault="00E07A77" w:rsidP="00F64C92">
            <w:pPr>
              <w:rPr>
                <w:b/>
                <w:u w:val="single"/>
              </w:rPr>
            </w:pPr>
          </w:p>
        </w:tc>
      </w:tr>
      <w:tr w:rsidR="00037A46" w:rsidTr="00345119">
        <w:tc>
          <w:tcPr>
            <w:tcW w:w="9576" w:type="dxa"/>
          </w:tcPr>
          <w:p w:rsidR="00A04FA1" w:rsidRPr="00A04FA1" w:rsidRDefault="00E07A77" w:rsidP="00F64C92">
            <w:pPr>
              <w:jc w:val="both"/>
            </w:pPr>
          </w:p>
        </w:tc>
      </w:tr>
    </w:tbl>
    <w:p w:rsidR="008423E4" w:rsidRPr="00BE0E75" w:rsidRDefault="00E07A77" w:rsidP="008423E4">
      <w:pPr>
        <w:spacing w:line="480" w:lineRule="auto"/>
        <w:jc w:val="both"/>
        <w:rPr>
          <w:rFonts w:ascii="Arial" w:hAnsi="Arial"/>
          <w:sz w:val="16"/>
          <w:szCs w:val="16"/>
        </w:rPr>
      </w:pPr>
    </w:p>
    <w:p w:rsidR="004108C3" w:rsidRPr="008423E4" w:rsidRDefault="00E07A7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7A77">
      <w:r>
        <w:separator/>
      </w:r>
    </w:p>
  </w:endnote>
  <w:endnote w:type="continuationSeparator" w:id="0">
    <w:p w:rsidR="00000000" w:rsidRDefault="00E0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7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37A46" w:rsidTr="009C1E9A">
      <w:trPr>
        <w:cantSplit/>
      </w:trPr>
      <w:tc>
        <w:tcPr>
          <w:tcW w:w="0" w:type="pct"/>
        </w:tcPr>
        <w:p w:rsidR="00137D90" w:rsidRDefault="00E07A77" w:rsidP="009C1E9A">
          <w:pPr>
            <w:pStyle w:val="Footer"/>
            <w:tabs>
              <w:tab w:val="clear" w:pos="8640"/>
              <w:tab w:val="right" w:pos="9360"/>
            </w:tabs>
          </w:pPr>
        </w:p>
      </w:tc>
      <w:tc>
        <w:tcPr>
          <w:tcW w:w="2395" w:type="pct"/>
        </w:tcPr>
        <w:p w:rsidR="00137D90" w:rsidRDefault="00E07A77" w:rsidP="009C1E9A">
          <w:pPr>
            <w:pStyle w:val="Footer"/>
            <w:tabs>
              <w:tab w:val="clear" w:pos="8640"/>
              <w:tab w:val="right" w:pos="9360"/>
            </w:tabs>
          </w:pPr>
        </w:p>
        <w:p w:rsidR="001A4310" w:rsidRDefault="00E07A77" w:rsidP="009C1E9A">
          <w:pPr>
            <w:pStyle w:val="Footer"/>
            <w:tabs>
              <w:tab w:val="clear" w:pos="8640"/>
              <w:tab w:val="right" w:pos="9360"/>
            </w:tabs>
          </w:pPr>
        </w:p>
        <w:p w:rsidR="00137D90" w:rsidRDefault="00E07A77" w:rsidP="009C1E9A">
          <w:pPr>
            <w:pStyle w:val="Footer"/>
            <w:tabs>
              <w:tab w:val="clear" w:pos="8640"/>
              <w:tab w:val="right" w:pos="9360"/>
            </w:tabs>
          </w:pPr>
        </w:p>
      </w:tc>
      <w:tc>
        <w:tcPr>
          <w:tcW w:w="2453" w:type="pct"/>
        </w:tcPr>
        <w:p w:rsidR="00137D90" w:rsidRDefault="00E07A77" w:rsidP="009C1E9A">
          <w:pPr>
            <w:pStyle w:val="Footer"/>
            <w:tabs>
              <w:tab w:val="clear" w:pos="8640"/>
              <w:tab w:val="right" w:pos="9360"/>
            </w:tabs>
            <w:jc w:val="right"/>
          </w:pPr>
        </w:p>
      </w:tc>
    </w:tr>
    <w:tr w:rsidR="00037A46" w:rsidTr="009C1E9A">
      <w:trPr>
        <w:cantSplit/>
      </w:trPr>
      <w:tc>
        <w:tcPr>
          <w:tcW w:w="0" w:type="pct"/>
        </w:tcPr>
        <w:p w:rsidR="00EC379B" w:rsidRDefault="00E07A77" w:rsidP="009C1E9A">
          <w:pPr>
            <w:pStyle w:val="Footer"/>
            <w:tabs>
              <w:tab w:val="clear" w:pos="8640"/>
              <w:tab w:val="right" w:pos="9360"/>
            </w:tabs>
          </w:pPr>
        </w:p>
      </w:tc>
      <w:tc>
        <w:tcPr>
          <w:tcW w:w="2395" w:type="pct"/>
        </w:tcPr>
        <w:p w:rsidR="00EC379B" w:rsidRPr="009C1E9A" w:rsidRDefault="00E07A77" w:rsidP="009C1E9A">
          <w:pPr>
            <w:pStyle w:val="Footer"/>
            <w:tabs>
              <w:tab w:val="clear" w:pos="8640"/>
              <w:tab w:val="right" w:pos="9360"/>
            </w:tabs>
            <w:rPr>
              <w:rFonts w:ascii="Shruti" w:hAnsi="Shruti"/>
              <w:sz w:val="22"/>
            </w:rPr>
          </w:pPr>
          <w:r>
            <w:rPr>
              <w:rFonts w:ascii="Shruti" w:hAnsi="Shruti"/>
              <w:sz w:val="22"/>
            </w:rPr>
            <w:t>86R 25528</w:t>
          </w:r>
        </w:p>
      </w:tc>
      <w:tc>
        <w:tcPr>
          <w:tcW w:w="2453" w:type="pct"/>
        </w:tcPr>
        <w:p w:rsidR="00EC379B" w:rsidRDefault="00E07A77" w:rsidP="009C1E9A">
          <w:pPr>
            <w:pStyle w:val="Footer"/>
            <w:tabs>
              <w:tab w:val="clear" w:pos="8640"/>
              <w:tab w:val="right" w:pos="9360"/>
            </w:tabs>
            <w:jc w:val="right"/>
          </w:pPr>
          <w:r>
            <w:fldChar w:fldCharType="begin"/>
          </w:r>
          <w:r>
            <w:instrText xml:space="preserve"> DOCPROPERTY  OTID  \* MERGEFORMAT </w:instrText>
          </w:r>
          <w:r>
            <w:fldChar w:fldCharType="separate"/>
          </w:r>
          <w:r>
            <w:t>19.102.856</w:t>
          </w:r>
          <w:r>
            <w:fldChar w:fldCharType="end"/>
          </w:r>
        </w:p>
      </w:tc>
    </w:tr>
    <w:tr w:rsidR="00037A46" w:rsidTr="009C1E9A">
      <w:trPr>
        <w:cantSplit/>
      </w:trPr>
      <w:tc>
        <w:tcPr>
          <w:tcW w:w="0" w:type="pct"/>
        </w:tcPr>
        <w:p w:rsidR="00EC379B" w:rsidRDefault="00E07A77" w:rsidP="009C1E9A">
          <w:pPr>
            <w:pStyle w:val="Footer"/>
            <w:tabs>
              <w:tab w:val="clear" w:pos="4320"/>
              <w:tab w:val="clear" w:pos="8640"/>
              <w:tab w:val="left" w:pos="2865"/>
            </w:tabs>
          </w:pPr>
        </w:p>
      </w:tc>
      <w:tc>
        <w:tcPr>
          <w:tcW w:w="2395" w:type="pct"/>
        </w:tcPr>
        <w:p w:rsidR="00EC379B" w:rsidRPr="009C1E9A" w:rsidRDefault="00E07A77" w:rsidP="009C1E9A">
          <w:pPr>
            <w:pStyle w:val="Footer"/>
            <w:tabs>
              <w:tab w:val="clear" w:pos="4320"/>
              <w:tab w:val="clear" w:pos="8640"/>
              <w:tab w:val="left" w:pos="2865"/>
            </w:tabs>
            <w:rPr>
              <w:rFonts w:ascii="Shruti" w:hAnsi="Shruti"/>
              <w:sz w:val="22"/>
            </w:rPr>
          </w:pPr>
          <w:r>
            <w:rPr>
              <w:rFonts w:ascii="Shruti" w:hAnsi="Shruti"/>
              <w:sz w:val="22"/>
            </w:rPr>
            <w:t>Substitute Document Number: 86R 25122</w:t>
          </w:r>
        </w:p>
      </w:tc>
      <w:tc>
        <w:tcPr>
          <w:tcW w:w="2453" w:type="pct"/>
        </w:tcPr>
        <w:p w:rsidR="00EC379B" w:rsidRDefault="00E07A77" w:rsidP="006D504F">
          <w:pPr>
            <w:pStyle w:val="Footer"/>
            <w:rPr>
              <w:rStyle w:val="PageNumber"/>
            </w:rPr>
          </w:pPr>
        </w:p>
        <w:p w:rsidR="00EC379B" w:rsidRDefault="00E07A77" w:rsidP="009C1E9A">
          <w:pPr>
            <w:pStyle w:val="Footer"/>
            <w:tabs>
              <w:tab w:val="clear" w:pos="8640"/>
              <w:tab w:val="right" w:pos="9360"/>
            </w:tabs>
            <w:jc w:val="right"/>
          </w:pPr>
        </w:p>
      </w:tc>
    </w:tr>
    <w:tr w:rsidR="00037A46" w:rsidTr="009C1E9A">
      <w:trPr>
        <w:cantSplit/>
        <w:trHeight w:val="323"/>
      </w:trPr>
      <w:tc>
        <w:tcPr>
          <w:tcW w:w="0" w:type="pct"/>
          <w:gridSpan w:val="3"/>
        </w:tcPr>
        <w:p w:rsidR="00EC379B" w:rsidRDefault="00E07A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07A77" w:rsidP="009C1E9A">
          <w:pPr>
            <w:pStyle w:val="Footer"/>
            <w:tabs>
              <w:tab w:val="clear" w:pos="8640"/>
              <w:tab w:val="right" w:pos="9360"/>
            </w:tabs>
            <w:jc w:val="center"/>
          </w:pPr>
        </w:p>
      </w:tc>
    </w:tr>
  </w:tbl>
  <w:p w:rsidR="00EC379B" w:rsidRPr="00FF6F72" w:rsidRDefault="00E07A7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7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7A77">
      <w:r>
        <w:separator/>
      </w:r>
    </w:p>
  </w:footnote>
  <w:footnote w:type="continuationSeparator" w:id="0">
    <w:p w:rsidR="00000000" w:rsidRDefault="00E0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7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7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7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8F9"/>
    <w:multiLevelType w:val="hybridMultilevel"/>
    <w:tmpl w:val="BFEC33FA"/>
    <w:lvl w:ilvl="0" w:tplc="1DE68B10">
      <w:start w:val="1"/>
      <w:numFmt w:val="bullet"/>
      <w:lvlText w:val=""/>
      <w:lvlJc w:val="left"/>
      <w:pPr>
        <w:tabs>
          <w:tab w:val="num" w:pos="720"/>
        </w:tabs>
        <w:ind w:left="720" w:hanging="360"/>
      </w:pPr>
      <w:rPr>
        <w:rFonts w:ascii="Symbol" w:hAnsi="Symbol" w:hint="default"/>
      </w:rPr>
    </w:lvl>
    <w:lvl w:ilvl="1" w:tplc="8E98DEA8" w:tentative="1">
      <w:start w:val="1"/>
      <w:numFmt w:val="bullet"/>
      <w:lvlText w:val="o"/>
      <w:lvlJc w:val="left"/>
      <w:pPr>
        <w:ind w:left="1440" w:hanging="360"/>
      </w:pPr>
      <w:rPr>
        <w:rFonts w:ascii="Courier New" w:hAnsi="Courier New" w:cs="Courier New" w:hint="default"/>
      </w:rPr>
    </w:lvl>
    <w:lvl w:ilvl="2" w:tplc="97785A6A" w:tentative="1">
      <w:start w:val="1"/>
      <w:numFmt w:val="bullet"/>
      <w:lvlText w:val=""/>
      <w:lvlJc w:val="left"/>
      <w:pPr>
        <w:ind w:left="2160" w:hanging="360"/>
      </w:pPr>
      <w:rPr>
        <w:rFonts w:ascii="Wingdings" w:hAnsi="Wingdings" w:hint="default"/>
      </w:rPr>
    </w:lvl>
    <w:lvl w:ilvl="3" w:tplc="ED9892EE" w:tentative="1">
      <w:start w:val="1"/>
      <w:numFmt w:val="bullet"/>
      <w:lvlText w:val=""/>
      <w:lvlJc w:val="left"/>
      <w:pPr>
        <w:ind w:left="2880" w:hanging="360"/>
      </w:pPr>
      <w:rPr>
        <w:rFonts w:ascii="Symbol" w:hAnsi="Symbol" w:hint="default"/>
      </w:rPr>
    </w:lvl>
    <w:lvl w:ilvl="4" w:tplc="58148F1E" w:tentative="1">
      <w:start w:val="1"/>
      <w:numFmt w:val="bullet"/>
      <w:lvlText w:val="o"/>
      <w:lvlJc w:val="left"/>
      <w:pPr>
        <w:ind w:left="3600" w:hanging="360"/>
      </w:pPr>
      <w:rPr>
        <w:rFonts w:ascii="Courier New" w:hAnsi="Courier New" w:cs="Courier New" w:hint="default"/>
      </w:rPr>
    </w:lvl>
    <w:lvl w:ilvl="5" w:tplc="DABE62FE" w:tentative="1">
      <w:start w:val="1"/>
      <w:numFmt w:val="bullet"/>
      <w:lvlText w:val=""/>
      <w:lvlJc w:val="left"/>
      <w:pPr>
        <w:ind w:left="4320" w:hanging="360"/>
      </w:pPr>
      <w:rPr>
        <w:rFonts w:ascii="Wingdings" w:hAnsi="Wingdings" w:hint="default"/>
      </w:rPr>
    </w:lvl>
    <w:lvl w:ilvl="6" w:tplc="481491F2" w:tentative="1">
      <w:start w:val="1"/>
      <w:numFmt w:val="bullet"/>
      <w:lvlText w:val=""/>
      <w:lvlJc w:val="left"/>
      <w:pPr>
        <w:ind w:left="5040" w:hanging="360"/>
      </w:pPr>
      <w:rPr>
        <w:rFonts w:ascii="Symbol" w:hAnsi="Symbol" w:hint="default"/>
      </w:rPr>
    </w:lvl>
    <w:lvl w:ilvl="7" w:tplc="78F6F408" w:tentative="1">
      <w:start w:val="1"/>
      <w:numFmt w:val="bullet"/>
      <w:lvlText w:val="o"/>
      <w:lvlJc w:val="left"/>
      <w:pPr>
        <w:ind w:left="5760" w:hanging="360"/>
      </w:pPr>
      <w:rPr>
        <w:rFonts w:ascii="Courier New" w:hAnsi="Courier New" w:cs="Courier New" w:hint="default"/>
      </w:rPr>
    </w:lvl>
    <w:lvl w:ilvl="8" w:tplc="6E18256E" w:tentative="1">
      <w:start w:val="1"/>
      <w:numFmt w:val="bullet"/>
      <w:lvlText w:val=""/>
      <w:lvlJc w:val="left"/>
      <w:pPr>
        <w:ind w:left="6480" w:hanging="360"/>
      </w:pPr>
      <w:rPr>
        <w:rFonts w:ascii="Wingdings" w:hAnsi="Wingdings" w:hint="default"/>
      </w:rPr>
    </w:lvl>
  </w:abstractNum>
  <w:abstractNum w:abstractNumId="1" w15:restartNumberingAfterBreak="0">
    <w:nsid w:val="0BD23A87"/>
    <w:multiLevelType w:val="hybridMultilevel"/>
    <w:tmpl w:val="F78C7702"/>
    <w:lvl w:ilvl="0" w:tplc="68D2C918">
      <w:start w:val="1"/>
      <w:numFmt w:val="bullet"/>
      <w:lvlText w:val=""/>
      <w:lvlJc w:val="left"/>
      <w:pPr>
        <w:tabs>
          <w:tab w:val="num" w:pos="720"/>
        </w:tabs>
        <w:ind w:left="720" w:hanging="360"/>
      </w:pPr>
      <w:rPr>
        <w:rFonts w:ascii="Symbol" w:hAnsi="Symbol" w:hint="default"/>
      </w:rPr>
    </w:lvl>
    <w:lvl w:ilvl="1" w:tplc="5BFA152E" w:tentative="1">
      <w:start w:val="1"/>
      <w:numFmt w:val="bullet"/>
      <w:lvlText w:val="o"/>
      <w:lvlJc w:val="left"/>
      <w:pPr>
        <w:ind w:left="1440" w:hanging="360"/>
      </w:pPr>
      <w:rPr>
        <w:rFonts w:ascii="Courier New" w:hAnsi="Courier New" w:cs="Courier New" w:hint="default"/>
      </w:rPr>
    </w:lvl>
    <w:lvl w:ilvl="2" w:tplc="E892EDC8" w:tentative="1">
      <w:start w:val="1"/>
      <w:numFmt w:val="bullet"/>
      <w:lvlText w:val=""/>
      <w:lvlJc w:val="left"/>
      <w:pPr>
        <w:ind w:left="2160" w:hanging="360"/>
      </w:pPr>
      <w:rPr>
        <w:rFonts w:ascii="Wingdings" w:hAnsi="Wingdings" w:hint="default"/>
      </w:rPr>
    </w:lvl>
    <w:lvl w:ilvl="3" w:tplc="BECE77F6" w:tentative="1">
      <w:start w:val="1"/>
      <w:numFmt w:val="bullet"/>
      <w:lvlText w:val=""/>
      <w:lvlJc w:val="left"/>
      <w:pPr>
        <w:ind w:left="2880" w:hanging="360"/>
      </w:pPr>
      <w:rPr>
        <w:rFonts w:ascii="Symbol" w:hAnsi="Symbol" w:hint="default"/>
      </w:rPr>
    </w:lvl>
    <w:lvl w:ilvl="4" w:tplc="8C228E22" w:tentative="1">
      <w:start w:val="1"/>
      <w:numFmt w:val="bullet"/>
      <w:lvlText w:val="o"/>
      <w:lvlJc w:val="left"/>
      <w:pPr>
        <w:ind w:left="3600" w:hanging="360"/>
      </w:pPr>
      <w:rPr>
        <w:rFonts w:ascii="Courier New" w:hAnsi="Courier New" w:cs="Courier New" w:hint="default"/>
      </w:rPr>
    </w:lvl>
    <w:lvl w:ilvl="5" w:tplc="419EBD50" w:tentative="1">
      <w:start w:val="1"/>
      <w:numFmt w:val="bullet"/>
      <w:lvlText w:val=""/>
      <w:lvlJc w:val="left"/>
      <w:pPr>
        <w:ind w:left="4320" w:hanging="360"/>
      </w:pPr>
      <w:rPr>
        <w:rFonts w:ascii="Wingdings" w:hAnsi="Wingdings" w:hint="default"/>
      </w:rPr>
    </w:lvl>
    <w:lvl w:ilvl="6" w:tplc="58E0F218" w:tentative="1">
      <w:start w:val="1"/>
      <w:numFmt w:val="bullet"/>
      <w:lvlText w:val=""/>
      <w:lvlJc w:val="left"/>
      <w:pPr>
        <w:ind w:left="5040" w:hanging="360"/>
      </w:pPr>
      <w:rPr>
        <w:rFonts w:ascii="Symbol" w:hAnsi="Symbol" w:hint="default"/>
      </w:rPr>
    </w:lvl>
    <w:lvl w:ilvl="7" w:tplc="084A764E" w:tentative="1">
      <w:start w:val="1"/>
      <w:numFmt w:val="bullet"/>
      <w:lvlText w:val="o"/>
      <w:lvlJc w:val="left"/>
      <w:pPr>
        <w:ind w:left="5760" w:hanging="360"/>
      </w:pPr>
      <w:rPr>
        <w:rFonts w:ascii="Courier New" w:hAnsi="Courier New" w:cs="Courier New" w:hint="default"/>
      </w:rPr>
    </w:lvl>
    <w:lvl w:ilvl="8" w:tplc="F9AC00EC" w:tentative="1">
      <w:start w:val="1"/>
      <w:numFmt w:val="bullet"/>
      <w:lvlText w:val=""/>
      <w:lvlJc w:val="left"/>
      <w:pPr>
        <w:ind w:left="6480" w:hanging="360"/>
      </w:pPr>
      <w:rPr>
        <w:rFonts w:ascii="Wingdings" w:hAnsi="Wingdings" w:hint="default"/>
      </w:rPr>
    </w:lvl>
  </w:abstractNum>
  <w:abstractNum w:abstractNumId="2" w15:restartNumberingAfterBreak="0">
    <w:nsid w:val="46CA789E"/>
    <w:multiLevelType w:val="hybridMultilevel"/>
    <w:tmpl w:val="20825FCC"/>
    <w:lvl w:ilvl="0" w:tplc="85EC235E">
      <w:start w:val="1"/>
      <w:numFmt w:val="bullet"/>
      <w:lvlText w:val=""/>
      <w:lvlJc w:val="left"/>
      <w:pPr>
        <w:ind w:left="780" w:hanging="360"/>
      </w:pPr>
      <w:rPr>
        <w:rFonts w:ascii="Symbol" w:hAnsi="Symbol" w:hint="default"/>
      </w:rPr>
    </w:lvl>
    <w:lvl w:ilvl="1" w:tplc="128C002C" w:tentative="1">
      <w:start w:val="1"/>
      <w:numFmt w:val="bullet"/>
      <w:lvlText w:val="o"/>
      <w:lvlJc w:val="left"/>
      <w:pPr>
        <w:ind w:left="1500" w:hanging="360"/>
      </w:pPr>
      <w:rPr>
        <w:rFonts w:ascii="Courier New" w:hAnsi="Courier New" w:cs="Courier New" w:hint="default"/>
      </w:rPr>
    </w:lvl>
    <w:lvl w:ilvl="2" w:tplc="026AD9C0" w:tentative="1">
      <w:start w:val="1"/>
      <w:numFmt w:val="bullet"/>
      <w:lvlText w:val=""/>
      <w:lvlJc w:val="left"/>
      <w:pPr>
        <w:ind w:left="2220" w:hanging="360"/>
      </w:pPr>
      <w:rPr>
        <w:rFonts w:ascii="Wingdings" w:hAnsi="Wingdings" w:hint="default"/>
      </w:rPr>
    </w:lvl>
    <w:lvl w:ilvl="3" w:tplc="4C6880F8" w:tentative="1">
      <w:start w:val="1"/>
      <w:numFmt w:val="bullet"/>
      <w:lvlText w:val=""/>
      <w:lvlJc w:val="left"/>
      <w:pPr>
        <w:ind w:left="2940" w:hanging="360"/>
      </w:pPr>
      <w:rPr>
        <w:rFonts w:ascii="Symbol" w:hAnsi="Symbol" w:hint="default"/>
      </w:rPr>
    </w:lvl>
    <w:lvl w:ilvl="4" w:tplc="2B7CB6B8" w:tentative="1">
      <w:start w:val="1"/>
      <w:numFmt w:val="bullet"/>
      <w:lvlText w:val="o"/>
      <w:lvlJc w:val="left"/>
      <w:pPr>
        <w:ind w:left="3660" w:hanging="360"/>
      </w:pPr>
      <w:rPr>
        <w:rFonts w:ascii="Courier New" w:hAnsi="Courier New" w:cs="Courier New" w:hint="default"/>
      </w:rPr>
    </w:lvl>
    <w:lvl w:ilvl="5" w:tplc="4E64C63C" w:tentative="1">
      <w:start w:val="1"/>
      <w:numFmt w:val="bullet"/>
      <w:lvlText w:val=""/>
      <w:lvlJc w:val="left"/>
      <w:pPr>
        <w:ind w:left="4380" w:hanging="360"/>
      </w:pPr>
      <w:rPr>
        <w:rFonts w:ascii="Wingdings" w:hAnsi="Wingdings" w:hint="default"/>
      </w:rPr>
    </w:lvl>
    <w:lvl w:ilvl="6" w:tplc="6A469FD6" w:tentative="1">
      <w:start w:val="1"/>
      <w:numFmt w:val="bullet"/>
      <w:lvlText w:val=""/>
      <w:lvlJc w:val="left"/>
      <w:pPr>
        <w:ind w:left="5100" w:hanging="360"/>
      </w:pPr>
      <w:rPr>
        <w:rFonts w:ascii="Symbol" w:hAnsi="Symbol" w:hint="default"/>
      </w:rPr>
    </w:lvl>
    <w:lvl w:ilvl="7" w:tplc="55B44EAC" w:tentative="1">
      <w:start w:val="1"/>
      <w:numFmt w:val="bullet"/>
      <w:lvlText w:val="o"/>
      <w:lvlJc w:val="left"/>
      <w:pPr>
        <w:ind w:left="5820" w:hanging="360"/>
      </w:pPr>
      <w:rPr>
        <w:rFonts w:ascii="Courier New" w:hAnsi="Courier New" w:cs="Courier New" w:hint="default"/>
      </w:rPr>
    </w:lvl>
    <w:lvl w:ilvl="8" w:tplc="93F0F008"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46"/>
    <w:rsid w:val="00037A46"/>
    <w:rsid w:val="00E0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3306DF-4BCA-4274-9205-0C53A364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D33B0"/>
    <w:rPr>
      <w:sz w:val="16"/>
      <w:szCs w:val="16"/>
    </w:rPr>
  </w:style>
  <w:style w:type="paragraph" w:styleId="CommentText">
    <w:name w:val="annotation text"/>
    <w:basedOn w:val="Normal"/>
    <w:link w:val="CommentTextChar"/>
    <w:semiHidden/>
    <w:unhideWhenUsed/>
    <w:rsid w:val="007D33B0"/>
    <w:rPr>
      <w:sz w:val="20"/>
      <w:szCs w:val="20"/>
    </w:rPr>
  </w:style>
  <w:style w:type="character" w:customStyle="1" w:styleId="CommentTextChar">
    <w:name w:val="Comment Text Char"/>
    <w:basedOn w:val="DefaultParagraphFont"/>
    <w:link w:val="CommentText"/>
    <w:semiHidden/>
    <w:rsid w:val="007D33B0"/>
  </w:style>
  <w:style w:type="paragraph" w:styleId="CommentSubject">
    <w:name w:val="annotation subject"/>
    <w:basedOn w:val="CommentText"/>
    <w:next w:val="CommentText"/>
    <w:link w:val="CommentSubjectChar"/>
    <w:semiHidden/>
    <w:unhideWhenUsed/>
    <w:rsid w:val="007D33B0"/>
    <w:rPr>
      <w:b/>
      <w:bCs/>
    </w:rPr>
  </w:style>
  <w:style w:type="character" w:customStyle="1" w:styleId="CommentSubjectChar">
    <w:name w:val="Comment Subject Char"/>
    <w:basedOn w:val="CommentTextChar"/>
    <w:link w:val="CommentSubject"/>
    <w:semiHidden/>
    <w:rsid w:val="007D33B0"/>
    <w:rPr>
      <w:b/>
      <w:bCs/>
    </w:rPr>
  </w:style>
  <w:style w:type="paragraph" w:styleId="ListParagraph">
    <w:name w:val="List Paragraph"/>
    <w:basedOn w:val="Normal"/>
    <w:uiPriority w:val="34"/>
    <w:qFormat/>
    <w:rsid w:val="00DF6C2D"/>
    <w:pPr>
      <w:ind w:left="720"/>
      <w:contextualSpacing/>
    </w:pPr>
    <w:rPr>
      <w:rFonts w:eastAsiaTheme="minorHAnsi"/>
    </w:rPr>
  </w:style>
  <w:style w:type="paragraph" w:styleId="HTMLPreformatted">
    <w:name w:val="HTML Preformatted"/>
    <w:basedOn w:val="Normal"/>
    <w:link w:val="HTMLPreformattedChar"/>
    <w:uiPriority w:val="99"/>
    <w:semiHidden/>
    <w:unhideWhenUsed/>
    <w:rsid w:val="00C8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85D6A"/>
    <w:rPr>
      <w:rFonts w:ascii="Courier New" w:hAnsi="Courier New" w:cs="Courier New"/>
    </w:rPr>
  </w:style>
  <w:style w:type="character" w:styleId="Hyperlink">
    <w:name w:val="Hyperlink"/>
    <w:basedOn w:val="DefaultParagraphFont"/>
    <w:uiPriority w:val="99"/>
    <w:semiHidden/>
    <w:unhideWhenUsed/>
    <w:rsid w:val="00C85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6356</Characters>
  <Application>Microsoft Office Word</Application>
  <DocSecurity>4</DocSecurity>
  <Lines>126</Lines>
  <Paragraphs>31</Paragraphs>
  <ScaleCrop>false</ScaleCrop>
  <HeadingPairs>
    <vt:vector size="2" baseType="variant">
      <vt:variant>
        <vt:lpstr>Title</vt:lpstr>
      </vt:variant>
      <vt:variant>
        <vt:i4>1</vt:i4>
      </vt:variant>
    </vt:vector>
  </HeadingPairs>
  <TitlesOfParts>
    <vt:vector size="1" baseType="lpstr">
      <vt:lpstr>BA - HB03598 (Committee Report (Substituted))</vt:lpstr>
    </vt:vector>
  </TitlesOfParts>
  <Company>State of Texas</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25528</dc:subject>
  <dc:creator>State of Texas</dc:creator>
  <dc:description>HB 3598 by Martinez Fischer-(H)Business &amp; Industry (Substitute Document Number: 86R 25122)</dc:description>
  <cp:lastModifiedBy>Laura Ramsay</cp:lastModifiedBy>
  <cp:revision>2</cp:revision>
  <cp:lastPrinted>2003-11-26T17:21:00Z</cp:lastPrinted>
  <dcterms:created xsi:type="dcterms:W3CDTF">2019-04-18T15:16:00Z</dcterms:created>
  <dcterms:modified xsi:type="dcterms:W3CDTF">2019-04-18T15:16:00Z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19.102.856</vt:lpwstr>
  </property>
</Properties>
</file>